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A07A0" w14:textId="16428551" w:rsidR="00E57DDA" w:rsidRDefault="00E33741" w:rsidP="00E57DDA">
      <w:pPr>
        <w:ind w:firstLine="0"/>
        <w:jc w:val="center"/>
        <w:rPr>
          <w:b/>
          <w:sz w:val="28"/>
          <w:szCs w:val="28"/>
          <w:u w:val="single"/>
        </w:rPr>
      </w:pPr>
      <w:r>
        <w:rPr>
          <w:b/>
          <w:sz w:val="28"/>
          <w:szCs w:val="28"/>
          <w:u w:val="single"/>
        </w:rPr>
        <w:t>EVIDENCE ESSENTIALS</w:t>
      </w:r>
      <w:r w:rsidR="00A770EE">
        <w:rPr>
          <w:b/>
          <w:sz w:val="28"/>
          <w:szCs w:val="28"/>
          <w:u w:val="single"/>
        </w:rPr>
        <w:t xml:space="preserve"> </w:t>
      </w:r>
      <w:r w:rsidR="00E57DDA" w:rsidRPr="00F53A64">
        <w:rPr>
          <w:b/>
          <w:sz w:val="28"/>
          <w:szCs w:val="28"/>
          <w:u w:val="single"/>
        </w:rPr>
        <w:t>PODCAST</w:t>
      </w:r>
      <w:r w:rsidR="00C276B9">
        <w:rPr>
          <w:b/>
          <w:sz w:val="28"/>
          <w:szCs w:val="28"/>
          <w:u w:val="single"/>
        </w:rPr>
        <w:t xml:space="preserve"> </w:t>
      </w:r>
    </w:p>
    <w:p w14:paraId="0C7451FA" w14:textId="77777777" w:rsidR="006B6476" w:rsidRPr="00F53A64" w:rsidRDefault="006B6476" w:rsidP="00E57DDA">
      <w:pPr>
        <w:ind w:firstLine="0"/>
        <w:jc w:val="center"/>
        <w:rPr>
          <w:b/>
          <w:sz w:val="28"/>
          <w:szCs w:val="28"/>
          <w:u w:val="single"/>
        </w:rPr>
      </w:pPr>
    </w:p>
    <w:p w14:paraId="75E9C3AE" w14:textId="40BCE8EA" w:rsidR="00C47579" w:rsidRDefault="00E57DDA" w:rsidP="00C47579">
      <w:pPr>
        <w:pStyle w:val="ListParaNoIndent"/>
        <w:numPr>
          <w:ilvl w:val="1"/>
          <w:numId w:val="2"/>
        </w:numPr>
        <w:tabs>
          <w:tab w:val="clear" w:pos="43"/>
          <w:tab w:val="clear" w:pos="432"/>
        </w:tabs>
        <w:spacing w:line="480" w:lineRule="auto"/>
        <w:ind w:left="720"/>
        <w:rPr>
          <w:szCs w:val="28"/>
        </w:rPr>
      </w:pPr>
      <w:r w:rsidRPr="00F53A64">
        <w:rPr>
          <w:szCs w:val="28"/>
        </w:rPr>
        <w:t xml:space="preserve">Hello everyone, welcome </w:t>
      </w:r>
      <w:r w:rsidR="00A87855">
        <w:rPr>
          <w:szCs w:val="28"/>
        </w:rPr>
        <w:t>to another session of</w:t>
      </w:r>
      <w:r w:rsidRPr="00F53A64">
        <w:rPr>
          <w:szCs w:val="28"/>
        </w:rPr>
        <w:t xml:space="preserve"> the Good Judge-</w:t>
      </w:r>
      <w:proofErr w:type="spellStart"/>
      <w:r w:rsidRPr="00F53A64">
        <w:rPr>
          <w:szCs w:val="28"/>
        </w:rPr>
        <w:t>ment</w:t>
      </w:r>
      <w:proofErr w:type="spellEnd"/>
      <w:r w:rsidRPr="00F53A64">
        <w:rPr>
          <w:szCs w:val="28"/>
        </w:rPr>
        <w:t xml:space="preserve"> podcast.  I am Wade Padgett…</w:t>
      </w:r>
    </w:p>
    <w:p w14:paraId="6E5E860C" w14:textId="3295FB9D" w:rsidR="00C276B9" w:rsidRPr="00C47579" w:rsidRDefault="00E57DDA" w:rsidP="00C47579">
      <w:pPr>
        <w:pStyle w:val="ListParaNoIndent"/>
        <w:numPr>
          <w:ilvl w:val="1"/>
          <w:numId w:val="2"/>
        </w:numPr>
        <w:tabs>
          <w:tab w:val="clear" w:pos="43"/>
          <w:tab w:val="clear" w:pos="432"/>
        </w:tabs>
        <w:spacing w:line="480" w:lineRule="auto"/>
        <w:ind w:left="720"/>
        <w:rPr>
          <w:szCs w:val="28"/>
        </w:rPr>
      </w:pPr>
      <w:r w:rsidRPr="00C47579">
        <w:rPr>
          <w:szCs w:val="28"/>
          <w:u w:val="single"/>
        </w:rPr>
        <w:t>and I am Tain Kell and together</w:t>
      </w:r>
      <w:r w:rsidR="006833E1">
        <w:rPr>
          <w:szCs w:val="28"/>
          <w:u w:val="single"/>
        </w:rPr>
        <w:t>,</w:t>
      </w:r>
      <w:r w:rsidRPr="00C47579">
        <w:rPr>
          <w:szCs w:val="28"/>
          <w:u w:val="single"/>
        </w:rPr>
        <w:t xml:space="preserve"> we will be </w:t>
      </w:r>
      <w:r w:rsidR="00C276B9" w:rsidRPr="00C47579">
        <w:rPr>
          <w:szCs w:val="28"/>
          <w:u w:val="single"/>
        </w:rPr>
        <w:t>your hosts</w:t>
      </w:r>
    </w:p>
    <w:p w14:paraId="44B92C35" w14:textId="7458ADBE" w:rsidR="00C276B9" w:rsidRPr="00906E00" w:rsidRDefault="005D57AF" w:rsidP="006B6476">
      <w:pPr>
        <w:pStyle w:val="ListParaNoIndent"/>
        <w:numPr>
          <w:ilvl w:val="1"/>
          <w:numId w:val="2"/>
        </w:numPr>
        <w:tabs>
          <w:tab w:val="clear" w:pos="43"/>
          <w:tab w:val="clear" w:pos="432"/>
        </w:tabs>
        <w:spacing w:line="480" w:lineRule="auto"/>
        <w:ind w:left="720"/>
        <w:rPr>
          <w:szCs w:val="28"/>
        </w:rPr>
      </w:pPr>
      <w:r>
        <w:rPr>
          <w:szCs w:val="28"/>
        </w:rPr>
        <w:t>Th</w:t>
      </w:r>
      <w:r w:rsidR="00EC1EC3">
        <w:rPr>
          <w:szCs w:val="28"/>
        </w:rPr>
        <w:t>e Good Judge-</w:t>
      </w:r>
      <w:proofErr w:type="spellStart"/>
      <w:r w:rsidR="00EC1EC3">
        <w:rPr>
          <w:szCs w:val="28"/>
        </w:rPr>
        <w:t>Ment</w:t>
      </w:r>
      <w:proofErr w:type="spellEnd"/>
      <w:r>
        <w:rPr>
          <w:szCs w:val="28"/>
        </w:rPr>
        <w:t xml:space="preserve"> podcast is designed for judges, lawyers and others who are interested in</w:t>
      </w:r>
      <w:r w:rsidR="00C47579">
        <w:rPr>
          <w:szCs w:val="28"/>
        </w:rPr>
        <w:t xml:space="preserve"> judges, and </w:t>
      </w:r>
      <w:r>
        <w:rPr>
          <w:szCs w:val="28"/>
        </w:rPr>
        <w:t xml:space="preserve">the law and procedure that occurs in a courtroom.  </w:t>
      </w:r>
      <w:r w:rsidR="006833E1">
        <w:rPr>
          <w:szCs w:val="28"/>
        </w:rPr>
        <w:t xml:space="preserve">Our focus is on Georgia law and Georgia judges.  </w:t>
      </w:r>
      <w:r>
        <w:rPr>
          <w:szCs w:val="28"/>
        </w:rPr>
        <w:t xml:space="preserve">We </w:t>
      </w:r>
      <w:r w:rsidR="00241844">
        <w:rPr>
          <w:szCs w:val="28"/>
        </w:rPr>
        <w:t>normally address</w:t>
      </w:r>
      <w:r>
        <w:rPr>
          <w:szCs w:val="28"/>
        </w:rPr>
        <w:t xml:space="preserve"> </w:t>
      </w:r>
      <w:r w:rsidR="00024E0A">
        <w:rPr>
          <w:szCs w:val="28"/>
        </w:rPr>
        <w:t xml:space="preserve">issues dealing with </w:t>
      </w:r>
      <w:r>
        <w:rPr>
          <w:szCs w:val="28"/>
        </w:rPr>
        <w:t xml:space="preserve">substantive law and procedure.  </w:t>
      </w:r>
      <w:r w:rsidR="00EC1EC3">
        <w:rPr>
          <w:szCs w:val="28"/>
        </w:rPr>
        <w:t xml:space="preserve">Occasionally, we have other topics of interest for judges to consider.  </w:t>
      </w:r>
      <w:r w:rsidR="00C276B9" w:rsidRPr="00906E00">
        <w:rPr>
          <w:szCs w:val="28"/>
        </w:rPr>
        <w:t>For those who have been listening to our podcasts, we want to thank you</w:t>
      </w:r>
      <w:r w:rsidR="00A770EE">
        <w:rPr>
          <w:szCs w:val="28"/>
        </w:rPr>
        <w:t>.</w:t>
      </w:r>
      <w:r w:rsidR="00C276B9" w:rsidRPr="00906E00">
        <w:rPr>
          <w:szCs w:val="28"/>
        </w:rPr>
        <w:t xml:space="preserve"> </w:t>
      </w:r>
    </w:p>
    <w:p w14:paraId="6ECD7C16" w14:textId="3550C86A" w:rsidR="00C276B9" w:rsidRPr="00E33741" w:rsidRDefault="00A770EE" w:rsidP="006B6476">
      <w:pPr>
        <w:pStyle w:val="ListParaNoIndent"/>
        <w:numPr>
          <w:ilvl w:val="1"/>
          <w:numId w:val="2"/>
        </w:numPr>
        <w:tabs>
          <w:tab w:val="clear" w:pos="43"/>
          <w:tab w:val="clear" w:pos="432"/>
        </w:tabs>
        <w:spacing w:line="480" w:lineRule="auto"/>
        <w:ind w:left="720"/>
        <w:rPr>
          <w:szCs w:val="28"/>
        </w:rPr>
      </w:pPr>
      <w:r>
        <w:rPr>
          <w:szCs w:val="28"/>
          <w:u w:val="single"/>
        </w:rPr>
        <w:t xml:space="preserve">Today’s podcast </w:t>
      </w:r>
      <w:r w:rsidR="00E33741">
        <w:rPr>
          <w:szCs w:val="28"/>
          <w:u w:val="single"/>
        </w:rPr>
        <w:t>takes us into a slightly different direction.  Many of you have reached out and asked for podcasts on topics dealing with evidence.  ANY evidence topics.  So we have created a shorter version of our traditiona</w:t>
      </w:r>
      <w:r w:rsidR="00C9598D">
        <w:rPr>
          <w:szCs w:val="28"/>
          <w:u w:val="single"/>
        </w:rPr>
        <w:t>l podcasts that we are calling Evidence E</w:t>
      </w:r>
      <w:r w:rsidR="00E33741">
        <w:rPr>
          <w:szCs w:val="28"/>
          <w:u w:val="single"/>
        </w:rPr>
        <w:t>ssentials.</w:t>
      </w:r>
    </w:p>
    <w:p w14:paraId="1EA0812F" w14:textId="19A4D182" w:rsidR="00E33741" w:rsidRDefault="00E33741" w:rsidP="006B6476">
      <w:pPr>
        <w:pStyle w:val="ListParaNoIndent"/>
        <w:numPr>
          <w:ilvl w:val="1"/>
          <w:numId w:val="2"/>
        </w:numPr>
        <w:tabs>
          <w:tab w:val="clear" w:pos="43"/>
          <w:tab w:val="clear" w:pos="432"/>
        </w:tabs>
        <w:spacing w:line="480" w:lineRule="auto"/>
        <w:ind w:left="720"/>
        <w:rPr>
          <w:szCs w:val="28"/>
        </w:rPr>
      </w:pPr>
      <w:r>
        <w:rPr>
          <w:szCs w:val="28"/>
        </w:rPr>
        <w:t xml:space="preserve">That’s right.  We have heard your cries and are trying to respond.  Each time we have a recording session we plan to record a brief podcast on a selected evidence topic.  Our idea is that a short, one issue podcast dealing with </w:t>
      </w:r>
      <w:r w:rsidR="005D2609">
        <w:rPr>
          <w:szCs w:val="28"/>
        </w:rPr>
        <w:lastRenderedPageBreak/>
        <w:t>individual</w:t>
      </w:r>
      <w:r w:rsidR="00C9598D">
        <w:rPr>
          <w:szCs w:val="28"/>
        </w:rPr>
        <w:t xml:space="preserve"> </w:t>
      </w:r>
      <w:r>
        <w:rPr>
          <w:szCs w:val="28"/>
        </w:rPr>
        <w:t xml:space="preserve">evidence </w:t>
      </w:r>
      <w:r w:rsidR="00C9598D">
        <w:rPr>
          <w:szCs w:val="28"/>
        </w:rPr>
        <w:t xml:space="preserve">topics </w:t>
      </w:r>
      <w:r>
        <w:rPr>
          <w:szCs w:val="28"/>
        </w:rPr>
        <w:t>is far better and more helpful than trying to address everything in the world of evidence is a single podcast.</w:t>
      </w:r>
    </w:p>
    <w:p w14:paraId="42CC54CC" w14:textId="228D0935" w:rsidR="00E33741" w:rsidRPr="009F7BF5" w:rsidRDefault="00E33741" w:rsidP="006B6476">
      <w:pPr>
        <w:pStyle w:val="ListParaNoIndent"/>
        <w:numPr>
          <w:ilvl w:val="1"/>
          <w:numId w:val="2"/>
        </w:numPr>
        <w:tabs>
          <w:tab w:val="clear" w:pos="43"/>
          <w:tab w:val="clear" w:pos="432"/>
        </w:tabs>
        <w:spacing w:line="480" w:lineRule="auto"/>
        <w:ind w:left="720"/>
        <w:rPr>
          <w:szCs w:val="28"/>
          <w:u w:val="single"/>
        </w:rPr>
      </w:pPr>
      <w:r w:rsidRPr="009F7BF5">
        <w:rPr>
          <w:szCs w:val="28"/>
          <w:u w:val="single"/>
        </w:rPr>
        <w:t xml:space="preserve">Additionally, we have invited a non-judge guest, Mr. </w:t>
      </w:r>
      <w:proofErr w:type="spellStart"/>
      <w:r w:rsidRPr="009F7BF5">
        <w:rPr>
          <w:szCs w:val="28"/>
          <w:u w:val="single"/>
        </w:rPr>
        <w:t>Garon</w:t>
      </w:r>
      <w:proofErr w:type="spellEnd"/>
      <w:r w:rsidRPr="009F7BF5">
        <w:rPr>
          <w:szCs w:val="28"/>
          <w:u w:val="single"/>
        </w:rPr>
        <w:t xml:space="preserve"> Muller, into the studio to help </w:t>
      </w:r>
      <w:r w:rsidR="00C45932" w:rsidRPr="009F7BF5">
        <w:rPr>
          <w:szCs w:val="28"/>
          <w:u w:val="single"/>
        </w:rPr>
        <w:t xml:space="preserve">us with the conversation.  </w:t>
      </w:r>
      <w:proofErr w:type="spellStart"/>
      <w:r w:rsidR="00C45932" w:rsidRPr="009F7BF5">
        <w:rPr>
          <w:szCs w:val="28"/>
          <w:u w:val="single"/>
        </w:rPr>
        <w:t>Garon</w:t>
      </w:r>
      <w:proofErr w:type="spellEnd"/>
      <w:r w:rsidR="00C45932" w:rsidRPr="009F7BF5">
        <w:rPr>
          <w:szCs w:val="28"/>
          <w:u w:val="single"/>
        </w:rPr>
        <w:t>, tell everyone hello.</w:t>
      </w:r>
    </w:p>
    <w:p w14:paraId="17838F1C" w14:textId="4E7AA6E6" w:rsidR="00C45932" w:rsidRPr="00906E00" w:rsidRDefault="00C45932" w:rsidP="006B6476">
      <w:pPr>
        <w:pStyle w:val="ListParaNoIndent"/>
        <w:numPr>
          <w:ilvl w:val="1"/>
          <w:numId w:val="2"/>
        </w:numPr>
        <w:tabs>
          <w:tab w:val="clear" w:pos="43"/>
          <w:tab w:val="clear" w:pos="432"/>
        </w:tabs>
        <w:spacing w:line="480" w:lineRule="auto"/>
        <w:ind w:left="720"/>
        <w:rPr>
          <w:szCs w:val="28"/>
        </w:rPr>
      </w:pPr>
      <w:r>
        <w:rPr>
          <w:szCs w:val="28"/>
        </w:rPr>
        <w:t>[Hello.]</w:t>
      </w:r>
    </w:p>
    <w:p w14:paraId="70BCCE8C" w14:textId="35966F12" w:rsidR="009F7BF5" w:rsidRDefault="009F7BF5" w:rsidP="006B6476">
      <w:pPr>
        <w:pStyle w:val="ListParaNoIndent"/>
        <w:numPr>
          <w:ilvl w:val="1"/>
          <w:numId w:val="2"/>
        </w:numPr>
        <w:tabs>
          <w:tab w:val="clear" w:pos="43"/>
          <w:tab w:val="clear" w:pos="432"/>
        </w:tabs>
        <w:spacing w:line="480" w:lineRule="auto"/>
        <w:ind w:left="720"/>
        <w:rPr>
          <w:szCs w:val="28"/>
        </w:rPr>
      </w:pPr>
      <w:r>
        <w:rPr>
          <w:szCs w:val="28"/>
        </w:rPr>
        <w:t xml:space="preserve">Well, that was rather literal.  </w:t>
      </w:r>
      <w:proofErr w:type="spellStart"/>
      <w:r>
        <w:rPr>
          <w:szCs w:val="28"/>
        </w:rPr>
        <w:t>Garon</w:t>
      </w:r>
      <w:proofErr w:type="spellEnd"/>
      <w:r>
        <w:rPr>
          <w:szCs w:val="28"/>
        </w:rPr>
        <w:t xml:space="preserve"> was my staff attorney in Augusta for several years and is now in private practice.  </w:t>
      </w:r>
      <w:r w:rsidR="00C9598D">
        <w:rPr>
          <w:szCs w:val="28"/>
        </w:rPr>
        <w:t>He’s our first guest who is not a judge (or former judge) on the Good Judge-</w:t>
      </w:r>
      <w:proofErr w:type="spellStart"/>
      <w:r w:rsidR="00C9598D">
        <w:rPr>
          <w:szCs w:val="28"/>
        </w:rPr>
        <w:t>ment</w:t>
      </w:r>
      <w:proofErr w:type="spellEnd"/>
      <w:r w:rsidR="00C9598D">
        <w:rPr>
          <w:szCs w:val="28"/>
        </w:rPr>
        <w:t xml:space="preserve"> Podcast.  </w:t>
      </w:r>
      <w:proofErr w:type="spellStart"/>
      <w:r>
        <w:rPr>
          <w:szCs w:val="28"/>
        </w:rPr>
        <w:t>Garon</w:t>
      </w:r>
      <w:proofErr w:type="spellEnd"/>
      <w:r>
        <w:rPr>
          <w:szCs w:val="28"/>
        </w:rPr>
        <w:t>, tell everyone a little about you.</w:t>
      </w:r>
    </w:p>
    <w:p w14:paraId="777A7DA2" w14:textId="2D3A0C64" w:rsidR="009F7BF5" w:rsidRDefault="009F7BF5" w:rsidP="006B6476">
      <w:pPr>
        <w:pStyle w:val="ListParaNoIndent"/>
        <w:numPr>
          <w:ilvl w:val="1"/>
          <w:numId w:val="2"/>
        </w:numPr>
        <w:tabs>
          <w:tab w:val="clear" w:pos="43"/>
          <w:tab w:val="clear" w:pos="432"/>
        </w:tabs>
        <w:spacing w:line="480" w:lineRule="auto"/>
        <w:ind w:left="720"/>
        <w:rPr>
          <w:szCs w:val="28"/>
        </w:rPr>
      </w:pPr>
      <w:r>
        <w:rPr>
          <w:szCs w:val="28"/>
        </w:rPr>
        <w:t>[</w:t>
      </w:r>
      <w:proofErr w:type="spellStart"/>
      <w:r>
        <w:rPr>
          <w:szCs w:val="28"/>
        </w:rPr>
        <w:t>Garon</w:t>
      </w:r>
      <w:proofErr w:type="spellEnd"/>
      <w:r>
        <w:rPr>
          <w:szCs w:val="28"/>
        </w:rPr>
        <w:t>-intro]</w:t>
      </w:r>
    </w:p>
    <w:p w14:paraId="481A99B6" w14:textId="0B487EA9" w:rsidR="00653FAD" w:rsidRPr="00906E00" w:rsidRDefault="009F7BF5" w:rsidP="006B6476">
      <w:pPr>
        <w:pStyle w:val="ListParaNoIndent"/>
        <w:numPr>
          <w:ilvl w:val="1"/>
          <w:numId w:val="2"/>
        </w:numPr>
        <w:tabs>
          <w:tab w:val="clear" w:pos="43"/>
          <w:tab w:val="clear" w:pos="432"/>
        </w:tabs>
        <w:spacing w:line="480" w:lineRule="auto"/>
        <w:ind w:left="720"/>
        <w:rPr>
          <w:szCs w:val="28"/>
        </w:rPr>
      </w:pPr>
      <w:r>
        <w:rPr>
          <w:szCs w:val="28"/>
          <w:u w:val="single"/>
        </w:rPr>
        <w:t xml:space="preserve">We want to keep these short and to the point so let’s dive right in.  </w:t>
      </w:r>
      <w:proofErr w:type="spellStart"/>
      <w:r>
        <w:rPr>
          <w:szCs w:val="28"/>
          <w:u w:val="single"/>
        </w:rPr>
        <w:t>Garon</w:t>
      </w:r>
      <w:proofErr w:type="spellEnd"/>
      <w:r>
        <w:rPr>
          <w:szCs w:val="28"/>
          <w:u w:val="single"/>
        </w:rPr>
        <w:t>, what exciting evidence topic are we handling today?</w:t>
      </w:r>
    </w:p>
    <w:p w14:paraId="5602CE1E" w14:textId="15CCCE17" w:rsidR="009F7BF5" w:rsidRDefault="009F7BF5" w:rsidP="006B6476">
      <w:pPr>
        <w:pStyle w:val="ListParaNoIndent"/>
        <w:numPr>
          <w:ilvl w:val="1"/>
          <w:numId w:val="2"/>
        </w:numPr>
        <w:tabs>
          <w:tab w:val="clear" w:pos="43"/>
          <w:tab w:val="clear" w:pos="432"/>
        </w:tabs>
        <w:spacing w:line="480" w:lineRule="auto"/>
        <w:ind w:left="720"/>
        <w:rPr>
          <w:szCs w:val="28"/>
        </w:rPr>
      </w:pPr>
      <w:r>
        <w:rPr>
          <w:szCs w:val="28"/>
        </w:rPr>
        <w:t>[Business Records</w:t>
      </w:r>
      <w:r w:rsidR="009E1BE5">
        <w:rPr>
          <w:szCs w:val="28"/>
        </w:rPr>
        <w:t xml:space="preserve">, Public Records </w:t>
      </w:r>
      <w:r>
        <w:rPr>
          <w:szCs w:val="28"/>
        </w:rPr>
        <w:t>and the related exceptions to the hearsay rule]</w:t>
      </w:r>
    </w:p>
    <w:p w14:paraId="4D7B6245" w14:textId="64E06085" w:rsidR="00EB29F1" w:rsidRPr="00906E00" w:rsidRDefault="00C9653B" w:rsidP="006B6476">
      <w:pPr>
        <w:pStyle w:val="ListParaNoIndent"/>
        <w:numPr>
          <w:ilvl w:val="0"/>
          <w:numId w:val="0"/>
        </w:numPr>
        <w:tabs>
          <w:tab w:val="clear" w:pos="43"/>
          <w:tab w:val="clear" w:pos="432"/>
        </w:tabs>
        <w:spacing w:line="480" w:lineRule="auto"/>
        <w:rPr>
          <w:szCs w:val="28"/>
        </w:rPr>
      </w:pPr>
      <w:r>
        <w:rPr>
          <w:szCs w:val="28"/>
        </w:rPr>
        <w:pict w14:anchorId="0EE3B14D">
          <v:rect id="_x0000_i1025" style="width:0;height:1.5pt" o:hralign="center" o:hrstd="t" o:hr="t" fillcolor="#a0a0a0" stroked="f"/>
        </w:pict>
      </w:r>
    </w:p>
    <w:p w14:paraId="2F5C51A8" w14:textId="4B3692CD" w:rsidR="009578B7" w:rsidRPr="009578B7" w:rsidRDefault="009578B7" w:rsidP="009578B7">
      <w:pPr>
        <w:pStyle w:val="ListParaNoIndent"/>
        <w:numPr>
          <w:ilvl w:val="0"/>
          <w:numId w:val="0"/>
        </w:numPr>
        <w:spacing w:line="480" w:lineRule="auto"/>
        <w:jc w:val="center"/>
        <w:rPr>
          <w:i/>
          <w:iCs/>
          <w:szCs w:val="28"/>
        </w:rPr>
      </w:pPr>
      <w:r>
        <w:rPr>
          <w:b/>
          <w:bCs/>
          <w:szCs w:val="28"/>
          <w:u w:val="single"/>
        </w:rPr>
        <w:t xml:space="preserve">THE </w:t>
      </w:r>
      <w:r w:rsidR="004627C4">
        <w:rPr>
          <w:b/>
          <w:bCs/>
          <w:szCs w:val="28"/>
          <w:u w:val="single"/>
        </w:rPr>
        <w:t>HEARSAY RULE</w:t>
      </w:r>
    </w:p>
    <w:p w14:paraId="5A6E1F3D" w14:textId="5605109A" w:rsidR="009E5EC7" w:rsidRPr="009E5EC7" w:rsidRDefault="009E5EC7" w:rsidP="0064023B">
      <w:pPr>
        <w:pStyle w:val="ListParaNoIndent"/>
        <w:numPr>
          <w:ilvl w:val="0"/>
          <w:numId w:val="20"/>
        </w:numPr>
        <w:spacing w:line="480" w:lineRule="auto"/>
        <w:rPr>
          <w:szCs w:val="28"/>
          <w:u w:val="single"/>
        </w:rPr>
      </w:pPr>
      <w:r>
        <w:rPr>
          <w:szCs w:val="28"/>
        </w:rPr>
        <w:t>Tain, tell our audience about your thoughts for young lawyers relating to the hearsay rule</w:t>
      </w:r>
    </w:p>
    <w:p w14:paraId="1B5AD76A" w14:textId="428C6030" w:rsidR="009E5EC7" w:rsidRPr="009E5EC7" w:rsidRDefault="008D1754" w:rsidP="0064023B">
      <w:pPr>
        <w:pStyle w:val="ListParaNoIndent"/>
        <w:numPr>
          <w:ilvl w:val="0"/>
          <w:numId w:val="20"/>
        </w:numPr>
        <w:spacing w:line="480" w:lineRule="auto"/>
        <w:rPr>
          <w:szCs w:val="28"/>
          <w:u w:val="single"/>
        </w:rPr>
      </w:pPr>
      <w:r>
        <w:rPr>
          <w:szCs w:val="28"/>
          <w:u w:val="single"/>
        </w:rPr>
        <w:lastRenderedPageBreak/>
        <w:t>Tain---</w:t>
      </w:r>
    </w:p>
    <w:p w14:paraId="3560A954" w14:textId="2BAE57E1" w:rsidR="008B3A8C" w:rsidRPr="004627C4" w:rsidRDefault="004627C4" w:rsidP="0064023B">
      <w:pPr>
        <w:pStyle w:val="ListParaNoIndent"/>
        <w:numPr>
          <w:ilvl w:val="0"/>
          <w:numId w:val="20"/>
        </w:numPr>
        <w:spacing w:line="480" w:lineRule="auto"/>
        <w:rPr>
          <w:szCs w:val="28"/>
          <w:u w:val="single"/>
        </w:rPr>
      </w:pPr>
      <w:r>
        <w:rPr>
          <w:szCs w:val="28"/>
        </w:rPr>
        <w:t xml:space="preserve">During these podcasts, we are frequently going to be discussing the “hearsay rule.”  </w:t>
      </w:r>
    </w:p>
    <w:p w14:paraId="7492CFD3" w14:textId="55FEC343" w:rsidR="009E5EC7" w:rsidRPr="009E5EC7" w:rsidRDefault="009E5EC7" w:rsidP="004627C4">
      <w:pPr>
        <w:pStyle w:val="ListParaNoIndent"/>
        <w:numPr>
          <w:ilvl w:val="1"/>
          <w:numId w:val="20"/>
        </w:numPr>
        <w:spacing w:line="480" w:lineRule="auto"/>
        <w:rPr>
          <w:szCs w:val="28"/>
          <w:u w:val="single"/>
        </w:rPr>
      </w:pPr>
      <w:r>
        <w:rPr>
          <w:szCs w:val="28"/>
        </w:rPr>
        <w:t>That rule says that we do not allow hearsay into evidence.  But, like all good rules there are exceptions to the rule.</w:t>
      </w:r>
    </w:p>
    <w:p w14:paraId="2AC87ECA" w14:textId="31C69B18" w:rsidR="004627C4" w:rsidRPr="009E1BE5" w:rsidRDefault="008D1754" w:rsidP="004627C4">
      <w:pPr>
        <w:pStyle w:val="ListParaNoIndent"/>
        <w:numPr>
          <w:ilvl w:val="1"/>
          <w:numId w:val="20"/>
        </w:numPr>
        <w:spacing w:line="480" w:lineRule="auto"/>
        <w:rPr>
          <w:szCs w:val="28"/>
          <w:u w:val="single"/>
        </w:rPr>
      </w:pPr>
      <w:r>
        <w:rPr>
          <w:szCs w:val="28"/>
        </w:rPr>
        <w:t>[</w:t>
      </w:r>
      <w:proofErr w:type="spellStart"/>
      <w:r>
        <w:rPr>
          <w:szCs w:val="28"/>
        </w:rPr>
        <w:t>Garo</w:t>
      </w:r>
      <w:r w:rsidR="00F27487">
        <w:rPr>
          <w:szCs w:val="28"/>
        </w:rPr>
        <w:t>n</w:t>
      </w:r>
      <w:proofErr w:type="spellEnd"/>
      <w:r>
        <w:rPr>
          <w:szCs w:val="28"/>
        </w:rPr>
        <w:t xml:space="preserve">] </w:t>
      </w:r>
      <w:r w:rsidR="009E5EC7">
        <w:rPr>
          <w:szCs w:val="28"/>
        </w:rPr>
        <w:t xml:space="preserve">First, </w:t>
      </w:r>
      <w:r w:rsidR="003A36C9">
        <w:rPr>
          <w:szCs w:val="28"/>
        </w:rPr>
        <w:t>for a statement to be considered hearsay, the following things have to be true:</w:t>
      </w:r>
    </w:p>
    <w:p w14:paraId="7109DB06" w14:textId="3EFC3817" w:rsidR="009E1BE5" w:rsidRPr="009E1BE5" w:rsidRDefault="009E1BE5" w:rsidP="009E1BE5">
      <w:pPr>
        <w:pStyle w:val="ListParaNoIndent"/>
        <w:numPr>
          <w:ilvl w:val="2"/>
          <w:numId w:val="20"/>
        </w:numPr>
        <w:spacing w:line="480" w:lineRule="auto"/>
        <w:rPr>
          <w:szCs w:val="28"/>
          <w:u w:val="single"/>
        </w:rPr>
      </w:pPr>
      <w:r>
        <w:rPr>
          <w:szCs w:val="28"/>
        </w:rPr>
        <w:t>Statement;</w:t>
      </w:r>
    </w:p>
    <w:p w14:paraId="1E6C907D" w14:textId="30D5E047" w:rsidR="009E1BE5" w:rsidRPr="009E1BE5" w:rsidRDefault="009E1BE5" w:rsidP="009E1BE5">
      <w:pPr>
        <w:pStyle w:val="ListParaNoIndent"/>
        <w:numPr>
          <w:ilvl w:val="2"/>
          <w:numId w:val="20"/>
        </w:numPr>
        <w:spacing w:line="480" w:lineRule="auto"/>
        <w:rPr>
          <w:szCs w:val="28"/>
          <w:u w:val="single"/>
        </w:rPr>
      </w:pPr>
      <w:r>
        <w:rPr>
          <w:szCs w:val="28"/>
        </w:rPr>
        <w:t>Made outside of this trial or hearing; and</w:t>
      </w:r>
    </w:p>
    <w:p w14:paraId="15F410A0" w14:textId="7033A6D9" w:rsidR="003A36C9" w:rsidRPr="003A36C9" w:rsidRDefault="009E1BE5" w:rsidP="003A36C9">
      <w:pPr>
        <w:pStyle w:val="ListParaNoIndent"/>
        <w:numPr>
          <w:ilvl w:val="2"/>
          <w:numId w:val="20"/>
        </w:numPr>
        <w:spacing w:line="480" w:lineRule="auto"/>
        <w:rPr>
          <w:szCs w:val="28"/>
          <w:u w:val="single"/>
        </w:rPr>
      </w:pPr>
      <w:r w:rsidRPr="003A36C9">
        <w:rPr>
          <w:szCs w:val="28"/>
        </w:rPr>
        <w:t>Offered to prove the truth of the matter asserted.</w:t>
      </w:r>
      <w:r w:rsidR="003A36C9" w:rsidRPr="003A36C9">
        <w:rPr>
          <w:szCs w:val="28"/>
        </w:rPr>
        <w:t xml:space="preserve"> (</w:t>
      </w:r>
      <w:r w:rsidR="003A36C9">
        <w:rPr>
          <w:szCs w:val="28"/>
        </w:rPr>
        <w:t>§24-8-801)</w:t>
      </w:r>
    </w:p>
    <w:p w14:paraId="3949CE01" w14:textId="6C758385" w:rsidR="00FC14AD" w:rsidRPr="003A36C9" w:rsidRDefault="00F27487" w:rsidP="003A36C9">
      <w:pPr>
        <w:pStyle w:val="ListParaNoIndent"/>
        <w:numPr>
          <w:ilvl w:val="0"/>
          <w:numId w:val="20"/>
        </w:numPr>
        <w:spacing w:line="480" w:lineRule="auto"/>
        <w:rPr>
          <w:szCs w:val="28"/>
          <w:u w:val="single"/>
        </w:rPr>
      </w:pPr>
      <w:r>
        <w:rPr>
          <w:szCs w:val="28"/>
        </w:rPr>
        <w:t>[</w:t>
      </w:r>
      <w:proofErr w:type="spellStart"/>
      <w:r>
        <w:rPr>
          <w:szCs w:val="28"/>
        </w:rPr>
        <w:t>Garon</w:t>
      </w:r>
      <w:proofErr w:type="spellEnd"/>
      <w:r>
        <w:rPr>
          <w:szCs w:val="28"/>
        </w:rPr>
        <w:t xml:space="preserve">] </w:t>
      </w:r>
      <w:r w:rsidR="00FC14AD" w:rsidRPr="003A36C9">
        <w:rPr>
          <w:szCs w:val="28"/>
        </w:rPr>
        <w:t>So if there is evidence in a trial which is made up of a statement</w:t>
      </w:r>
      <w:r w:rsidR="003A36C9">
        <w:rPr>
          <w:szCs w:val="28"/>
        </w:rPr>
        <w:t xml:space="preserve">, </w:t>
      </w:r>
      <w:r w:rsidR="00FC14AD" w:rsidRPr="003A36C9">
        <w:rPr>
          <w:szCs w:val="28"/>
        </w:rPr>
        <w:t>made outside of the courtroom</w:t>
      </w:r>
      <w:r w:rsidR="003A36C9">
        <w:rPr>
          <w:szCs w:val="28"/>
        </w:rPr>
        <w:t xml:space="preserve"> in </w:t>
      </w:r>
      <w:r w:rsidR="003A36C9">
        <w:rPr>
          <w:szCs w:val="28"/>
          <w:u w:val="single"/>
        </w:rPr>
        <w:t>this</w:t>
      </w:r>
      <w:r w:rsidR="003A36C9">
        <w:rPr>
          <w:szCs w:val="28"/>
        </w:rPr>
        <w:t xml:space="preserve"> hearing,</w:t>
      </w:r>
      <w:r w:rsidR="00FC14AD" w:rsidRPr="003A36C9">
        <w:rPr>
          <w:szCs w:val="28"/>
        </w:rPr>
        <w:t xml:space="preserve"> and offered to prove the truth of the matter asserted, that would be inadmissible hearsay unless it falls within an exception</w:t>
      </w:r>
    </w:p>
    <w:p w14:paraId="4CAF8CDF" w14:textId="09D0AECA" w:rsidR="00FC14AD" w:rsidRPr="006B61DB" w:rsidRDefault="00FC14AD" w:rsidP="00FC14AD">
      <w:pPr>
        <w:pStyle w:val="ListParaNoIndent"/>
        <w:numPr>
          <w:ilvl w:val="0"/>
          <w:numId w:val="20"/>
        </w:numPr>
        <w:spacing w:line="480" w:lineRule="auto"/>
        <w:rPr>
          <w:szCs w:val="28"/>
          <w:u w:val="single"/>
        </w:rPr>
      </w:pPr>
      <w:r w:rsidRPr="006B61DB">
        <w:rPr>
          <w:szCs w:val="28"/>
          <w:u w:val="single"/>
        </w:rPr>
        <w:t xml:space="preserve">There are a lot of details wrapped up in the heading of “hearsay” but we are not going to </w:t>
      </w:r>
      <w:r w:rsidR="00C6002C" w:rsidRPr="006B61DB">
        <w:rPr>
          <w:szCs w:val="28"/>
          <w:u w:val="single"/>
        </w:rPr>
        <w:t xml:space="preserve">fully </w:t>
      </w:r>
      <w:r w:rsidRPr="006B61DB">
        <w:rPr>
          <w:szCs w:val="28"/>
          <w:u w:val="single"/>
        </w:rPr>
        <w:t xml:space="preserve">unpack that definition today.  Instead, we are going to focus solely on the topic of </w:t>
      </w:r>
      <w:r w:rsidR="005D2609" w:rsidRPr="006B61DB">
        <w:rPr>
          <w:szCs w:val="28"/>
          <w:u w:val="single"/>
        </w:rPr>
        <w:t xml:space="preserve">the </w:t>
      </w:r>
      <w:r w:rsidRPr="006B61DB">
        <w:rPr>
          <w:szCs w:val="28"/>
          <w:u w:val="single"/>
        </w:rPr>
        <w:t>business records</w:t>
      </w:r>
      <w:r w:rsidR="00C6002C" w:rsidRPr="006B61DB">
        <w:rPr>
          <w:szCs w:val="28"/>
          <w:u w:val="single"/>
        </w:rPr>
        <w:t xml:space="preserve"> </w:t>
      </w:r>
      <w:r w:rsidR="003A36C9" w:rsidRPr="006B61DB">
        <w:rPr>
          <w:szCs w:val="28"/>
          <w:u w:val="single"/>
        </w:rPr>
        <w:t xml:space="preserve">exception </w:t>
      </w:r>
      <w:r w:rsidR="00C6002C" w:rsidRPr="006B61DB">
        <w:rPr>
          <w:szCs w:val="28"/>
          <w:u w:val="single"/>
        </w:rPr>
        <w:t xml:space="preserve">and </w:t>
      </w:r>
      <w:r w:rsidR="003A36C9" w:rsidRPr="006B61DB">
        <w:rPr>
          <w:szCs w:val="28"/>
          <w:u w:val="single"/>
        </w:rPr>
        <w:t xml:space="preserve">the </w:t>
      </w:r>
      <w:r w:rsidR="00C6002C" w:rsidRPr="006B61DB">
        <w:rPr>
          <w:szCs w:val="28"/>
          <w:u w:val="single"/>
        </w:rPr>
        <w:t>public records</w:t>
      </w:r>
      <w:r w:rsidRPr="006B61DB">
        <w:rPr>
          <w:szCs w:val="28"/>
          <w:u w:val="single"/>
        </w:rPr>
        <w:t xml:space="preserve"> </w:t>
      </w:r>
      <w:r w:rsidR="003A36C9" w:rsidRPr="006B61DB">
        <w:rPr>
          <w:szCs w:val="28"/>
          <w:u w:val="single"/>
        </w:rPr>
        <w:t xml:space="preserve">exception to the hearsay rule. </w:t>
      </w:r>
    </w:p>
    <w:p w14:paraId="0D448C48" w14:textId="0D3D2B8A" w:rsidR="00FC14AD" w:rsidRPr="008B3A8C" w:rsidRDefault="00FC14AD" w:rsidP="00FC14AD">
      <w:pPr>
        <w:pStyle w:val="ListParaNoIndent"/>
        <w:numPr>
          <w:ilvl w:val="0"/>
          <w:numId w:val="0"/>
        </w:numPr>
        <w:spacing w:line="480" w:lineRule="auto"/>
        <w:rPr>
          <w:szCs w:val="28"/>
          <w:u w:val="single"/>
        </w:rPr>
      </w:pPr>
      <w:r>
        <w:rPr>
          <w:szCs w:val="28"/>
        </w:rPr>
        <w:lastRenderedPageBreak/>
        <w:pict w14:anchorId="49CE5FC7">
          <v:rect id="_x0000_i1039" style="width:0;height:1.5pt" o:hralign="center" o:hrstd="t" o:hr="t" fillcolor="#a0a0a0" stroked="f"/>
        </w:pict>
      </w:r>
    </w:p>
    <w:p w14:paraId="4965B9D8" w14:textId="33C16432" w:rsidR="009E1BE5" w:rsidRPr="009E1BE5" w:rsidRDefault="009E1BE5" w:rsidP="009E1BE5">
      <w:pPr>
        <w:pStyle w:val="ListParaNoIndent"/>
        <w:numPr>
          <w:ilvl w:val="0"/>
          <w:numId w:val="0"/>
        </w:numPr>
        <w:spacing w:line="480" w:lineRule="auto"/>
        <w:jc w:val="center"/>
        <w:rPr>
          <w:b/>
          <w:szCs w:val="28"/>
          <w:u w:val="single"/>
        </w:rPr>
      </w:pPr>
      <w:r>
        <w:rPr>
          <w:b/>
          <w:szCs w:val="28"/>
          <w:u w:val="single"/>
        </w:rPr>
        <w:t>803(6) BUSINESS RECORDS</w:t>
      </w:r>
    </w:p>
    <w:p w14:paraId="578ABBF1" w14:textId="26529689" w:rsidR="00C6002C" w:rsidRDefault="00C6002C" w:rsidP="00C6002C">
      <w:pPr>
        <w:pStyle w:val="ListParaNoIndent"/>
        <w:numPr>
          <w:ilvl w:val="0"/>
          <w:numId w:val="20"/>
        </w:numPr>
        <w:spacing w:line="480" w:lineRule="auto"/>
        <w:rPr>
          <w:szCs w:val="28"/>
          <w:u w:val="single"/>
        </w:rPr>
      </w:pPr>
      <w:proofErr w:type="spellStart"/>
      <w:r>
        <w:rPr>
          <w:szCs w:val="28"/>
        </w:rPr>
        <w:t>Garon</w:t>
      </w:r>
      <w:proofErr w:type="spellEnd"/>
      <w:r>
        <w:rPr>
          <w:szCs w:val="28"/>
        </w:rPr>
        <w:t>, quick quiz.  What is the hearsay exception number for business records?</w:t>
      </w:r>
    </w:p>
    <w:p w14:paraId="3707926F" w14:textId="092B3D12" w:rsidR="00C6002C" w:rsidRPr="00C6002C" w:rsidRDefault="00C6002C" w:rsidP="00C6002C">
      <w:pPr>
        <w:pStyle w:val="ListParaNoIndent"/>
        <w:numPr>
          <w:ilvl w:val="0"/>
          <w:numId w:val="20"/>
        </w:numPr>
        <w:spacing w:line="480" w:lineRule="auto"/>
        <w:rPr>
          <w:szCs w:val="28"/>
          <w:u w:val="single"/>
        </w:rPr>
      </w:pPr>
      <w:r>
        <w:rPr>
          <w:szCs w:val="28"/>
        </w:rPr>
        <w:t>[</w:t>
      </w:r>
      <w:proofErr w:type="spellStart"/>
      <w:r w:rsidR="00F27487">
        <w:rPr>
          <w:szCs w:val="28"/>
        </w:rPr>
        <w:t>Garon</w:t>
      </w:r>
      <w:proofErr w:type="spellEnd"/>
      <w:r w:rsidR="00F27487">
        <w:rPr>
          <w:szCs w:val="28"/>
        </w:rPr>
        <w:t>] [</w:t>
      </w:r>
      <w:r>
        <w:rPr>
          <w:szCs w:val="28"/>
        </w:rPr>
        <w:t>803(6)-the business records exception]</w:t>
      </w:r>
    </w:p>
    <w:p w14:paraId="051CF910" w14:textId="61AEF508" w:rsidR="00C6002C" w:rsidRDefault="00C9598D" w:rsidP="00C6002C">
      <w:pPr>
        <w:pStyle w:val="ListParaNoIndent"/>
        <w:numPr>
          <w:ilvl w:val="0"/>
          <w:numId w:val="20"/>
        </w:numPr>
        <w:spacing w:line="480" w:lineRule="auto"/>
        <w:rPr>
          <w:szCs w:val="28"/>
          <w:u w:val="single"/>
        </w:rPr>
      </w:pPr>
      <w:r>
        <w:rPr>
          <w:szCs w:val="28"/>
          <w:u w:val="single"/>
        </w:rPr>
        <w:t>Tell the folks what the logic is behind the exception for business records.</w:t>
      </w:r>
    </w:p>
    <w:p w14:paraId="0FFB19D0" w14:textId="309AD9F2" w:rsidR="00C9598D" w:rsidRPr="003A36C9" w:rsidRDefault="00C9598D" w:rsidP="00C6002C">
      <w:pPr>
        <w:pStyle w:val="ListParaNoIndent"/>
        <w:numPr>
          <w:ilvl w:val="0"/>
          <w:numId w:val="20"/>
        </w:numPr>
        <w:spacing w:line="480" w:lineRule="auto"/>
        <w:rPr>
          <w:szCs w:val="28"/>
          <w:u w:val="single"/>
        </w:rPr>
      </w:pPr>
      <w:r>
        <w:rPr>
          <w:szCs w:val="28"/>
        </w:rPr>
        <w:t>[</w:t>
      </w:r>
      <w:proofErr w:type="spellStart"/>
      <w:r w:rsidR="00F27487">
        <w:rPr>
          <w:szCs w:val="28"/>
        </w:rPr>
        <w:t>Garon</w:t>
      </w:r>
      <w:proofErr w:type="spellEnd"/>
      <w:r w:rsidR="00F27487">
        <w:rPr>
          <w:szCs w:val="28"/>
        </w:rPr>
        <w:t>] [</w:t>
      </w:r>
      <w:r>
        <w:rPr>
          <w:szCs w:val="28"/>
        </w:rPr>
        <w:t>businesses keep accurate records in the normal course of their business…..]</w:t>
      </w:r>
    </w:p>
    <w:p w14:paraId="470A0CCF" w14:textId="77777777" w:rsidR="003A36C9" w:rsidRDefault="003A36C9" w:rsidP="003A36C9">
      <w:pPr>
        <w:pStyle w:val="ListParaNoIndent"/>
        <w:numPr>
          <w:ilvl w:val="0"/>
          <w:numId w:val="20"/>
        </w:numPr>
        <w:tabs>
          <w:tab w:val="clear" w:pos="43"/>
          <w:tab w:val="clear" w:pos="432"/>
        </w:tabs>
        <w:spacing w:line="480" w:lineRule="auto"/>
      </w:pPr>
      <w:r>
        <w:t>The requirements to admit business records under Rule 803(6) are:</w:t>
      </w:r>
    </w:p>
    <w:p w14:paraId="679A47A0" w14:textId="77777777" w:rsidR="003A36C9" w:rsidRDefault="003A36C9" w:rsidP="003A36C9">
      <w:pPr>
        <w:pStyle w:val="ListParaNoIndent"/>
        <w:numPr>
          <w:ilvl w:val="1"/>
          <w:numId w:val="20"/>
        </w:numPr>
        <w:tabs>
          <w:tab w:val="clear" w:pos="43"/>
          <w:tab w:val="clear" w:pos="432"/>
        </w:tabs>
        <w:spacing w:line="480" w:lineRule="auto"/>
      </w:pPr>
      <w:r>
        <w:t>The record is the type routinely made in the regular course of business;</w:t>
      </w:r>
    </w:p>
    <w:p w14:paraId="24BAAA94" w14:textId="77777777" w:rsidR="003A36C9" w:rsidRDefault="003A36C9" w:rsidP="003A36C9">
      <w:pPr>
        <w:pStyle w:val="ListParaNoIndent"/>
        <w:numPr>
          <w:ilvl w:val="1"/>
          <w:numId w:val="20"/>
        </w:numPr>
        <w:tabs>
          <w:tab w:val="clear" w:pos="43"/>
          <w:tab w:val="clear" w:pos="432"/>
        </w:tabs>
        <w:spacing w:line="480" w:lineRule="auto"/>
      </w:pPr>
      <w:r>
        <w:t>The record was kept in the ordinary course of business;</w:t>
      </w:r>
    </w:p>
    <w:p w14:paraId="282EC75C" w14:textId="77777777" w:rsidR="003A36C9" w:rsidRDefault="003A36C9" w:rsidP="003A36C9">
      <w:pPr>
        <w:pStyle w:val="ListParaNoIndent"/>
        <w:numPr>
          <w:ilvl w:val="1"/>
          <w:numId w:val="20"/>
        </w:numPr>
        <w:tabs>
          <w:tab w:val="clear" w:pos="43"/>
          <w:tab w:val="clear" w:pos="432"/>
        </w:tabs>
        <w:spacing w:line="480" w:lineRule="auto"/>
      </w:pPr>
      <w:r>
        <w:t>The record was made at or near the time of the occurrences set forth in the record;</w:t>
      </w:r>
    </w:p>
    <w:p w14:paraId="25A2D4DD" w14:textId="77777777" w:rsidR="003A36C9" w:rsidRDefault="003A36C9" w:rsidP="003A36C9">
      <w:pPr>
        <w:pStyle w:val="ListParaNoIndent"/>
        <w:numPr>
          <w:ilvl w:val="1"/>
          <w:numId w:val="20"/>
        </w:numPr>
        <w:tabs>
          <w:tab w:val="clear" w:pos="43"/>
          <w:tab w:val="clear" w:pos="432"/>
        </w:tabs>
        <w:spacing w:line="480" w:lineRule="auto"/>
      </w:pPr>
      <w:r>
        <w:t>The record was based on sources who were acting in the regular course of business in making the report; and</w:t>
      </w:r>
    </w:p>
    <w:p w14:paraId="610AC169" w14:textId="22F50635" w:rsidR="003A36C9" w:rsidRPr="00F27487" w:rsidRDefault="003A36C9" w:rsidP="00F11A4B">
      <w:pPr>
        <w:pStyle w:val="ListParaNoIndent"/>
        <w:numPr>
          <w:ilvl w:val="1"/>
          <w:numId w:val="20"/>
        </w:numPr>
        <w:spacing w:line="480" w:lineRule="auto"/>
        <w:rPr>
          <w:szCs w:val="28"/>
          <w:u w:val="single"/>
        </w:rPr>
      </w:pPr>
      <w:r>
        <w:t>The sources were basing their reporting on their personal knowledge.</w:t>
      </w:r>
    </w:p>
    <w:p w14:paraId="2CFBED08" w14:textId="059CD402" w:rsidR="00F27487" w:rsidRPr="009E1BE5" w:rsidRDefault="00F27487" w:rsidP="00F27487">
      <w:pPr>
        <w:pStyle w:val="ListParaNoIndent"/>
        <w:numPr>
          <w:ilvl w:val="0"/>
          <w:numId w:val="20"/>
        </w:numPr>
        <w:spacing w:line="480" w:lineRule="auto"/>
        <w:rPr>
          <w:szCs w:val="28"/>
          <w:u w:val="single"/>
        </w:rPr>
      </w:pPr>
      <w:r>
        <w:rPr>
          <w:u w:val="single"/>
        </w:rPr>
        <w:t>You know, podcasts are terrible places to read statutory definitions.</w:t>
      </w:r>
    </w:p>
    <w:p w14:paraId="38261576" w14:textId="79D8885E" w:rsidR="009E1BE5" w:rsidRPr="005B72DF" w:rsidRDefault="00251645" w:rsidP="00C6002C">
      <w:pPr>
        <w:pStyle w:val="ListParaNoIndent"/>
        <w:numPr>
          <w:ilvl w:val="0"/>
          <w:numId w:val="20"/>
        </w:numPr>
        <w:spacing w:line="480" w:lineRule="auto"/>
        <w:rPr>
          <w:szCs w:val="28"/>
          <w:u w:val="single"/>
        </w:rPr>
      </w:pPr>
      <w:r>
        <w:rPr>
          <w:szCs w:val="28"/>
        </w:rPr>
        <w:lastRenderedPageBreak/>
        <w:t>[</w:t>
      </w:r>
      <w:proofErr w:type="spellStart"/>
      <w:r>
        <w:rPr>
          <w:szCs w:val="28"/>
        </w:rPr>
        <w:t>Garon</w:t>
      </w:r>
      <w:proofErr w:type="spellEnd"/>
      <w:r>
        <w:rPr>
          <w:szCs w:val="28"/>
        </w:rPr>
        <w:t xml:space="preserve">] </w:t>
      </w:r>
      <w:r w:rsidR="009E1BE5">
        <w:rPr>
          <w:szCs w:val="28"/>
        </w:rPr>
        <w:t xml:space="preserve">So one of the most important points to remember when dealing with business records is </w:t>
      </w:r>
      <w:r w:rsidR="005B72DF">
        <w:rPr>
          <w:szCs w:val="28"/>
        </w:rPr>
        <w:t xml:space="preserve">whether the record was made in the </w:t>
      </w:r>
      <w:r w:rsidR="005B72DF" w:rsidRPr="00F11A4B">
        <w:rPr>
          <w:b/>
          <w:i/>
          <w:szCs w:val="28"/>
        </w:rPr>
        <w:t>normal course of business</w:t>
      </w:r>
      <w:r w:rsidR="005B72DF">
        <w:rPr>
          <w:szCs w:val="28"/>
        </w:rPr>
        <w:t xml:space="preserve">.  </w:t>
      </w:r>
    </w:p>
    <w:p w14:paraId="55FB52A6" w14:textId="2DD392A0" w:rsidR="005B72DF" w:rsidRPr="005B72DF" w:rsidRDefault="00D14159" w:rsidP="005B72DF">
      <w:pPr>
        <w:pStyle w:val="ListParaNoIndent"/>
        <w:numPr>
          <w:ilvl w:val="1"/>
          <w:numId w:val="20"/>
        </w:numPr>
        <w:spacing w:line="480" w:lineRule="auto"/>
        <w:rPr>
          <w:szCs w:val="28"/>
          <w:u w:val="single"/>
        </w:rPr>
      </w:pPr>
      <w:r>
        <w:rPr>
          <w:szCs w:val="28"/>
        </w:rPr>
        <w:t>[</w:t>
      </w:r>
      <w:proofErr w:type="spellStart"/>
      <w:r>
        <w:rPr>
          <w:szCs w:val="28"/>
        </w:rPr>
        <w:t>Garon</w:t>
      </w:r>
      <w:proofErr w:type="spellEnd"/>
      <w:r>
        <w:rPr>
          <w:szCs w:val="28"/>
        </w:rPr>
        <w:t xml:space="preserve">] </w:t>
      </w:r>
      <w:r w:rsidR="005B72DF">
        <w:rPr>
          <w:szCs w:val="28"/>
        </w:rPr>
        <w:t>A record made in anticipation of litigation does not qualify as a business record because we are willing to trust the accuracy of records that are made without knowledge that litigation is happening.</w:t>
      </w:r>
      <w:r w:rsidR="00F11A4B">
        <w:rPr>
          <w:szCs w:val="28"/>
        </w:rPr>
        <w:t xml:space="preserve">  But once the accuracy of the record could be “tainted” or “shaded” by the pending litigation, the reason for relying on the accuracy of the records evaporates.</w:t>
      </w:r>
    </w:p>
    <w:p w14:paraId="1DC9D27C" w14:textId="59FE5589" w:rsidR="009E5EC7" w:rsidRPr="00BE5A7B" w:rsidRDefault="005B72DF" w:rsidP="003D5AF4">
      <w:pPr>
        <w:pStyle w:val="ListParaNoIndent"/>
        <w:numPr>
          <w:ilvl w:val="1"/>
          <w:numId w:val="20"/>
        </w:numPr>
        <w:spacing w:line="480" w:lineRule="auto"/>
        <w:rPr>
          <w:szCs w:val="28"/>
          <w:u w:val="single"/>
        </w:rPr>
      </w:pPr>
      <w:r w:rsidRPr="00251645">
        <w:rPr>
          <w:szCs w:val="28"/>
          <w:u w:val="single"/>
        </w:rPr>
        <w:t>If the document was solely made in response to pendi</w:t>
      </w:r>
      <w:r w:rsidR="00F11A4B" w:rsidRPr="00251645">
        <w:rPr>
          <w:szCs w:val="28"/>
          <w:u w:val="single"/>
        </w:rPr>
        <w:t>ng or threatened</w:t>
      </w:r>
      <w:r w:rsidRPr="00251645">
        <w:rPr>
          <w:szCs w:val="28"/>
          <w:u w:val="single"/>
        </w:rPr>
        <w:t xml:space="preserve"> litigation, it does not qualify as a business record</w:t>
      </w:r>
      <w:r>
        <w:rPr>
          <w:szCs w:val="28"/>
        </w:rPr>
        <w:t>.</w:t>
      </w:r>
      <w:r w:rsidR="00F11A4B">
        <w:rPr>
          <w:rStyle w:val="EndnoteReference"/>
          <w:szCs w:val="28"/>
        </w:rPr>
        <w:endnoteReference w:id="1"/>
      </w:r>
    </w:p>
    <w:p w14:paraId="0D244143" w14:textId="2B3CF937" w:rsidR="00BE5A7B" w:rsidRPr="003D5AF4" w:rsidRDefault="00BE5A7B" w:rsidP="00BE5A7B">
      <w:pPr>
        <w:pStyle w:val="ListParaNoIndent"/>
        <w:numPr>
          <w:ilvl w:val="2"/>
          <w:numId w:val="20"/>
        </w:numPr>
        <w:spacing w:line="480" w:lineRule="auto"/>
        <w:rPr>
          <w:szCs w:val="28"/>
          <w:u w:val="single"/>
        </w:rPr>
      </w:pPr>
      <w:r>
        <w:rPr>
          <w:szCs w:val="28"/>
        </w:rPr>
        <w:t>[</w:t>
      </w:r>
      <w:r>
        <w:rPr>
          <w:i/>
          <w:szCs w:val="28"/>
        </w:rPr>
        <w:t xml:space="preserve">for a case where a detailed analysis of business records was made and it was determined that a record was </w:t>
      </w:r>
      <w:r>
        <w:rPr>
          <w:i/>
          <w:szCs w:val="28"/>
          <w:u w:val="single"/>
        </w:rPr>
        <w:t>not</w:t>
      </w:r>
      <w:r>
        <w:rPr>
          <w:i/>
          <w:szCs w:val="28"/>
        </w:rPr>
        <w:t xml:space="preserve"> a business record.</w:t>
      </w:r>
      <w:r w:rsidRPr="00024E0A">
        <w:rPr>
          <w:rStyle w:val="EndnoteReference"/>
          <w:szCs w:val="28"/>
        </w:rPr>
        <w:endnoteReference w:id="2"/>
      </w:r>
      <w:r w:rsidR="00024E0A">
        <w:rPr>
          <w:szCs w:val="28"/>
        </w:rPr>
        <w:t>]</w:t>
      </w:r>
    </w:p>
    <w:p w14:paraId="217ADAA4" w14:textId="18BFCDEE" w:rsidR="003D5AF4" w:rsidRDefault="00251645" w:rsidP="003D5AF4">
      <w:pPr>
        <w:pStyle w:val="ListParaNoIndent"/>
        <w:numPr>
          <w:ilvl w:val="0"/>
          <w:numId w:val="20"/>
        </w:numPr>
        <w:tabs>
          <w:tab w:val="clear" w:pos="43"/>
          <w:tab w:val="clear" w:pos="432"/>
        </w:tabs>
        <w:spacing w:line="480" w:lineRule="auto"/>
      </w:pPr>
      <w:r>
        <w:t>[</w:t>
      </w:r>
      <w:proofErr w:type="spellStart"/>
      <w:r>
        <w:t>Garon</w:t>
      </w:r>
      <w:proofErr w:type="spellEnd"/>
      <w:r>
        <w:t xml:space="preserve">] </w:t>
      </w:r>
      <w:r w:rsidR="003D5AF4">
        <w:t xml:space="preserve">Under Rule 803(6), </w:t>
      </w:r>
      <w:r w:rsidR="003D5AF4" w:rsidRPr="00303A05">
        <w:rPr>
          <w:b/>
          <w:i/>
        </w:rPr>
        <w:t>the record can include opinions and diagnoses</w:t>
      </w:r>
      <w:r w:rsidR="003D5AF4">
        <w:t xml:space="preserve">. </w:t>
      </w:r>
    </w:p>
    <w:p w14:paraId="01228D70" w14:textId="6F18AE4E" w:rsidR="003D5AF4" w:rsidRDefault="00D14159" w:rsidP="003D5AF4">
      <w:pPr>
        <w:pStyle w:val="ListParaNoIndent"/>
        <w:numPr>
          <w:ilvl w:val="1"/>
          <w:numId w:val="20"/>
        </w:numPr>
        <w:tabs>
          <w:tab w:val="clear" w:pos="43"/>
          <w:tab w:val="clear" w:pos="432"/>
        </w:tabs>
        <w:spacing w:line="480" w:lineRule="auto"/>
      </w:pPr>
      <w:r>
        <w:t>[</w:t>
      </w:r>
      <w:proofErr w:type="spellStart"/>
      <w:r>
        <w:t>Garon</w:t>
      </w:r>
      <w:proofErr w:type="spellEnd"/>
      <w:r>
        <w:t xml:space="preserve">] </w:t>
      </w:r>
      <w:r w:rsidR="003D5AF4">
        <w:t xml:space="preserve">This portion of the rule is different from Georgia’s prior law and causes some lawyers to hyperventilate.  </w:t>
      </w:r>
    </w:p>
    <w:p w14:paraId="2598BC95" w14:textId="77777777" w:rsidR="003D5AF4" w:rsidRPr="00251645" w:rsidRDefault="003D5AF4" w:rsidP="003D5AF4">
      <w:pPr>
        <w:pStyle w:val="ListParaNoIndent"/>
        <w:numPr>
          <w:ilvl w:val="1"/>
          <w:numId w:val="20"/>
        </w:numPr>
        <w:tabs>
          <w:tab w:val="clear" w:pos="43"/>
          <w:tab w:val="clear" w:pos="432"/>
        </w:tabs>
        <w:spacing w:line="480" w:lineRule="auto"/>
        <w:rPr>
          <w:u w:val="single"/>
        </w:rPr>
      </w:pPr>
      <w:r w:rsidRPr="00251645">
        <w:rPr>
          <w:u w:val="single"/>
        </w:rPr>
        <w:t xml:space="preserve">If the opinion or diagnosis is normally and usually a part of the business record (i.e. hospital records), the record can be admitted as a business </w:t>
      </w:r>
      <w:r w:rsidRPr="00251645">
        <w:rPr>
          <w:u w:val="single"/>
        </w:rPr>
        <w:lastRenderedPageBreak/>
        <w:t xml:space="preserve">record.  Medical records usually contain “statements” from nurses, doctors, therapists, phlebotomists, and other medical personnel.  </w:t>
      </w:r>
    </w:p>
    <w:p w14:paraId="6F877120" w14:textId="77777777" w:rsidR="003D5AF4" w:rsidRDefault="003D5AF4" w:rsidP="003D5AF4">
      <w:pPr>
        <w:pStyle w:val="ListParaNoIndent"/>
        <w:numPr>
          <w:ilvl w:val="1"/>
          <w:numId w:val="20"/>
        </w:numPr>
        <w:tabs>
          <w:tab w:val="clear" w:pos="43"/>
          <w:tab w:val="clear" w:pos="432"/>
        </w:tabs>
        <w:spacing w:line="480" w:lineRule="auto"/>
      </w:pPr>
      <w:r>
        <w:t xml:space="preserve">The fact that the record contains “hearsay” from a variety of people who treated the patient does not require the court to exclude the business records.  </w:t>
      </w:r>
    </w:p>
    <w:p w14:paraId="3A0BCB87" w14:textId="209047D7" w:rsidR="003D5AF4" w:rsidRDefault="003D5AF4" w:rsidP="003D5AF4">
      <w:pPr>
        <w:pStyle w:val="ListParaNoIndent"/>
        <w:numPr>
          <w:ilvl w:val="1"/>
          <w:numId w:val="20"/>
        </w:numPr>
        <w:tabs>
          <w:tab w:val="clear" w:pos="43"/>
          <w:tab w:val="clear" w:pos="432"/>
        </w:tabs>
        <w:spacing w:line="480" w:lineRule="auto"/>
      </w:pPr>
      <w:r>
        <w:t>Provided that the “hearsay” from the various people included in the medical record is a part of what is normally included in a medical record such as the one being offered, Rule 803(6) allows all of that information to be admitted as part of the business record of the hospital.</w:t>
      </w:r>
      <w:r>
        <w:rPr>
          <w:rStyle w:val="EndnoteReference"/>
        </w:rPr>
        <w:endnoteReference w:id="3"/>
      </w:r>
    </w:p>
    <w:p w14:paraId="5A20D24E" w14:textId="5DF5295E" w:rsidR="00527FF4" w:rsidRDefault="00527FF4" w:rsidP="00527FF4">
      <w:pPr>
        <w:pStyle w:val="ListParaNoIndent"/>
        <w:numPr>
          <w:ilvl w:val="0"/>
          <w:numId w:val="0"/>
        </w:numPr>
        <w:tabs>
          <w:tab w:val="clear" w:pos="43"/>
          <w:tab w:val="clear" w:pos="432"/>
        </w:tabs>
        <w:spacing w:line="480" w:lineRule="auto"/>
      </w:pPr>
      <w:r>
        <w:rPr>
          <w:szCs w:val="28"/>
        </w:rPr>
        <w:pict w14:anchorId="5598B218">
          <v:rect id="_x0000_i1040" style="width:0;height:1.5pt" o:hralign="center" o:hrstd="t" o:hr="t" fillcolor="#a0a0a0" stroked="f"/>
        </w:pict>
      </w:r>
    </w:p>
    <w:p w14:paraId="267FC461" w14:textId="3EFB4328" w:rsidR="00527FF4" w:rsidRPr="00527FF4" w:rsidRDefault="00527FF4" w:rsidP="00527FF4">
      <w:pPr>
        <w:pStyle w:val="ListParaNoIndent"/>
        <w:numPr>
          <w:ilvl w:val="0"/>
          <w:numId w:val="0"/>
        </w:numPr>
        <w:tabs>
          <w:tab w:val="clear" w:pos="43"/>
          <w:tab w:val="clear" w:pos="432"/>
        </w:tabs>
        <w:spacing w:line="480" w:lineRule="auto"/>
        <w:jc w:val="center"/>
        <w:rPr>
          <w:b/>
          <w:u w:val="single"/>
        </w:rPr>
      </w:pPr>
      <w:r>
        <w:rPr>
          <w:b/>
          <w:u w:val="single"/>
        </w:rPr>
        <w:t>LAYING THE FOUNDATION (OLD WAY AND NEW WAY)</w:t>
      </w:r>
    </w:p>
    <w:p w14:paraId="6C4B1C13" w14:textId="174B9B61" w:rsidR="00527FF4" w:rsidRPr="00251645" w:rsidRDefault="00527FF4" w:rsidP="003D5AF4">
      <w:pPr>
        <w:pStyle w:val="ListParaNoIndent"/>
        <w:numPr>
          <w:ilvl w:val="0"/>
          <w:numId w:val="20"/>
        </w:numPr>
        <w:tabs>
          <w:tab w:val="clear" w:pos="43"/>
          <w:tab w:val="clear" w:pos="432"/>
        </w:tabs>
        <w:spacing w:line="480" w:lineRule="auto"/>
        <w:rPr>
          <w:u w:val="single"/>
        </w:rPr>
      </w:pPr>
      <w:r w:rsidRPr="00251645">
        <w:rPr>
          <w:u w:val="single"/>
        </w:rPr>
        <w:t xml:space="preserve">So </w:t>
      </w:r>
      <w:proofErr w:type="spellStart"/>
      <w:r w:rsidRPr="00251645">
        <w:rPr>
          <w:u w:val="single"/>
        </w:rPr>
        <w:t>Garon</w:t>
      </w:r>
      <w:proofErr w:type="spellEnd"/>
      <w:r w:rsidRPr="00251645">
        <w:rPr>
          <w:u w:val="single"/>
        </w:rPr>
        <w:t>, judges are not typically involved with the mechanics of how lawyers give notice that they intend to use business records.  Why don’t you discuss that process a bit.</w:t>
      </w:r>
    </w:p>
    <w:p w14:paraId="7BC7CAB7" w14:textId="338EDC8D" w:rsidR="003D5AF4" w:rsidRDefault="00D14159" w:rsidP="003D5AF4">
      <w:pPr>
        <w:pStyle w:val="ListParaNoIndent"/>
        <w:numPr>
          <w:ilvl w:val="0"/>
          <w:numId w:val="20"/>
        </w:numPr>
        <w:tabs>
          <w:tab w:val="clear" w:pos="43"/>
          <w:tab w:val="clear" w:pos="432"/>
        </w:tabs>
        <w:spacing w:line="480" w:lineRule="auto"/>
      </w:pPr>
      <w:r>
        <w:t>[</w:t>
      </w:r>
      <w:proofErr w:type="spellStart"/>
      <w:r>
        <w:t>Garon</w:t>
      </w:r>
      <w:proofErr w:type="spellEnd"/>
      <w:r>
        <w:t xml:space="preserve">] </w:t>
      </w:r>
      <w:r w:rsidR="003D5AF4" w:rsidRPr="00303A05">
        <w:t xml:space="preserve">The foundation must be laid by the party seeking to admit a business record under Rule 803(6).  </w:t>
      </w:r>
    </w:p>
    <w:p w14:paraId="3AB8DB7F" w14:textId="6639EFCE" w:rsidR="003D5AF4" w:rsidRDefault="00D14159" w:rsidP="003D5AF4">
      <w:pPr>
        <w:pStyle w:val="ListParaNoIndent"/>
        <w:numPr>
          <w:ilvl w:val="1"/>
          <w:numId w:val="20"/>
        </w:numPr>
        <w:tabs>
          <w:tab w:val="clear" w:pos="43"/>
          <w:tab w:val="clear" w:pos="432"/>
        </w:tabs>
        <w:spacing w:line="480" w:lineRule="auto"/>
      </w:pPr>
      <w:r>
        <w:t>[</w:t>
      </w:r>
      <w:proofErr w:type="spellStart"/>
      <w:r>
        <w:t>Garon</w:t>
      </w:r>
      <w:proofErr w:type="spellEnd"/>
      <w:r>
        <w:t xml:space="preserve">] </w:t>
      </w:r>
      <w:r w:rsidR="003D5AF4" w:rsidRPr="00303A05">
        <w:t xml:space="preserve">The party can meet that </w:t>
      </w:r>
      <w:r w:rsidR="00527FF4">
        <w:t>foundation</w:t>
      </w:r>
      <w:r w:rsidR="00251645">
        <w:t>al</w:t>
      </w:r>
      <w:r w:rsidR="00527FF4">
        <w:t xml:space="preserve"> </w:t>
      </w:r>
      <w:r w:rsidR="003D5AF4" w:rsidRPr="00303A05">
        <w:t xml:space="preserve">obligation in one of two different ways: </w:t>
      </w:r>
    </w:p>
    <w:p w14:paraId="412BD206" w14:textId="2466ED08" w:rsidR="00BC5962" w:rsidRPr="00BC5962" w:rsidRDefault="00BC5962" w:rsidP="00527FF4">
      <w:pPr>
        <w:pStyle w:val="ListParaNoIndent"/>
        <w:numPr>
          <w:ilvl w:val="2"/>
          <w:numId w:val="20"/>
        </w:numPr>
        <w:tabs>
          <w:tab w:val="clear" w:pos="43"/>
          <w:tab w:val="clear" w:pos="432"/>
        </w:tabs>
        <w:spacing w:line="480" w:lineRule="auto"/>
        <w:rPr>
          <w:b/>
        </w:rPr>
      </w:pPr>
      <w:r w:rsidRPr="00BC5962">
        <w:rPr>
          <w:b/>
        </w:rPr>
        <w:t>(“</w:t>
      </w:r>
      <w:r w:rsidRPr="00BC5962">
        <w:rPr>
          <w:b/>
          <w:i/>
        </w:rPr>
        <w:t>OLD WAY”</w:t>
      </w:r>
      <w:r w:rsidRPr="00BC5962">
        <w:rPr>
          <w:b/>
        </w:rPr>
        <w:t>)</w:t>
      </w:r>
    </w:p>
    <w:p w14:paraId="60C96B48" w14:textId="4E9B918E" w:rsidR="003D5AF4" w:rsidRDefault="003D5AF4" w:rsidP="00BC5962">
      <w:pPr>
        <w:pStyle w:val="ListParaNoIndent"/>
        <w:numPr>
          <w:ilvl w:val="3"/>
          <w:numId w:val="20"/>
        </w:numPr>
        <w:tabs>
          <w:tab w:val="clear" w:pos="43"/>
          <w:tab w:val="clear" w:pos="432"/>
        </w:tabs>
        <w:spacing w:line="480" w:lineRule="auto"/>
      </w:pPr>
      <w:r w:rsidRPr="00303A05">
        <w:lastRenderedPageBreak/>
        <w:t>call a witness who can establish that the record is made a kept in the ordinary course of business by testifying to all of the elements of a business record are established by the records that are being tendered (“</w:t>
      </w:r>
      <w:r w:rsidRPr="00527FF4">
        <w:rPr>
          <w:b/>
          <w:i/>
        </w:rPr>
        <w:t>the old fashioned way</w:t>
      </w:r>
      <w:r w:rsidRPr="00303A05">
        <w:t xml:space="preserve">”); or </w:t>
      </w:r>
    </w:p>
    <w:p w14:paraId="61AEBE52" w14:textId="35BC59C2" w:rsidR="00BC5962" w:rsidRDefault="00D14159" w:rsidP="00527FF4">
      <w:pPr>
        <w:pStyle w:val="ListParaNoIndent"/>
        <w:numPr>
          <w:ilvl w:val="2"/>
          <w:numId w:val="20"/>
        </w:numPr>
        <w:tabs>
          <w:tab w:val="clear" w:pos="43"/>
          <w:tab w:val="clear" w:pos="432"/>
        </w:tabs>
        <w:spacing w:line="480" w:lineRule="auto"/>
      </w:pPr>
      <w:r w:rsidRPr="00D14159">
        <w:t>[</w:t>
      </w:r>
      <w:proofErr w:type="spellStart"/>
      <w:r w:rsidRPr="00D14159">
        <w:t>Garon</w:t>
      </w:r>
      <w:proofErr w:type="spellEnd"/>
      <w:r w:rsidRPr="00D14159">
        <w:t xml:space="preserve">] </w:t>
      </w:r>
      <w:r w:rsidR="00BC5962">
        <w:rPr>
          <w:b/>
        </w:rPr>
        <w:t>(“</w:t>
      </w:r>
      <w:r w:rsidR="00BC5962">
        <w:rPr>
          <w:b/>
          <w:i/>
        </w:rPr>
        <w:t>NEW WAY”</w:t>
      </w:r>
      <w:r w:rsidR="00BC5962">
        <w:rPr>
          <w:b/>
        </w:rPr>
        <w:t>)</w:t>
      </w:r>
    </w:p>
    <w:p w14:paraId="2A258253" w14:textId="45DF42C1" w:rsidR="003D5AF4" w:rsidRDefault="003D5AF4" w:rsidP="00BC5962">
      <w:pPr>
        <w:pStyle w:val="ListParaNoIndent"/>
        <w:numPr>
          <w:ilvl w:val="3"/>
          <w:numId w:val="20"/>
        </w:numPr>
        <w:tabs>
          <w:tab w:val="clear" w:pos="43"/>
          <w:tab w:val="clear" w:pos="432"/>
        </w:tabs>
        <w:spacing w:line="480" w:lineRule="auto"/>
      </w:pPr>
      <w:r w:rsidRPr="00303A05">
        <w:t xml:space="preserve">by filing a written declaration </w:t>
      </w:r>
      <w:r w:rsidR="00241844">
        <w:t>with advance notice to the other party</w:t>
      </w:r>
    </w:p>
    <w:p w14:paraId="7C056378" w14:textId="618F7477" w:rsidR="003D5AF4" w:rsidRDefault="00D14159" w:rsidP="00527FF4">
      <w:pPr>
        <w:pStyle w:val="ListParaNoIndent"/>
        <w:numPr>
          <w:ilvl w:val="0"/>
          <w:numId w:val="20"/>
        </w:numPr>
        <w:tabs>
          <w:tab w:val="clear" w:pos="43"/>
          <w:tab w:val="clear" w:pos="432"/>
        </w:tabs>
        <w:spacing w:line="480" w:lineRule="auto"/>
      </w:pPr>
      <w:r>
        <w:t>[</w:t>
      </w:r>
      <w:proofErr w:type="spellStart"/>
      <w:r>
        <w:t>Garon</w:t>
      </w:r>
      <w:proofErr w:type="spellEnd"/>
      <w:r>
        <w:t xml:space="preserve">] </w:t>
      </w:r>
      <w:r w:rsidR="003D5AF4">
        <w:t>Under “</w:t>
      </w:r>
      <w:r w:rsidR="003D5AF4" w:rsidRPr="00527FF4">
        <w:rPr>
          <w:b/>
          <w:i/>
        </w:rPr>
        <w:t>the new way</w:t>
      </w:r>
      <w:r w:rsidR="003D5AF4">
        <w:t xml:space="preserve">,” a party can offer a business record by way of a written declaration instead of calling a live witness. </w:t>
      </w:r>
    </w:p>
    <w:p w14:paraId="75C5F112" w14:textId="1180B2FE" w:rsidR="003D5AF4" w:rsidRDefault="003D5AF4" w:rsidP="00527FF4">
      <w:pPr>
        <w:pStyle w:val="ListParaNoIndent"/>
        <w:numPr>
          <w:ilvl w:val="1"/>
          <w:numId w:val="20"/>
        </w:numPr>
        <w:tabs>
          <w:tab w:val="clear" w:pos="43"/>
          <w:tab w:val="clear" w:pos="432"/>
        </w:tabs>
        <w:spacing w:line="480" w:lineRule="auto"/>
      </w:pPr>
      <w:r>
        <w:t xml:space="preserve"> </w:t>
      </w:r>
      <w:r w:rsidR="00D14159">
        <w:t>[</w:t>
      </w:r>
      <w:proofErr w:type="spellStart"/>
      <w:r w:rsidR="00D14159">
        <w:t>Garon</w:t>
      </w:r>
      <w:proofErr w:type="spellEnd"/>
      <w:r w:rsidR="00D14159">
        <w:t xml:space="preserve">] </w:t>
      </w:r>
      <w:r w:rsidRPr="003A083C">
        <w:t xml:space="preserve">O.C.G.A. </w:t>
      </w:r>
      <w:r>
        <w:t xml:space="preserve">§24-9-902(11) and (12) describe the procedure for offering a business record “the new way.”  </w:t>
      </w:r>
    </w:p>
    <w:p w14:paraId="45BE30C1" w14:textId="10F52DF6" w:rsidR="003D5AF4" w:rsidRDefault="003D5AF4" w:rsidP="00F23056">
      <w:pPr>
        <w:pStyle w:val="ListParaNoIndent"/>
        <w:numPr>
          <w:ilvl w:val="0"/>
          <w:numId w:val="20"/>
        </w:numPr>
        <w:tabs>
          <w:tab w:val="clear" w:pos="43"/>
          <w:tab w:val="clear" w:pos="432"/>
        </w:tabs>
        <w:spacing w:line="480" w:lineRule="auto"/>
      </w:pPr>
      <w:r w:rsidRPr="008973E2">
        <w:rPr>
          <w:u w:val="single"/>
        </w:rPr>
        <w:t>The party wanting to introduce a business record by written certification must provide pretrial notice of their intentions that give</w:t>
      </w:r>
      <w:r w:rsidR="00F23056" w:rsidRPr="008973E2">
        <w:rPr>
          <w:u w:val="single"/>
        </w:rPr>
        <w:t>s</w:t>
      </w:r>
      <w:r w:rsidRPr="008973E2">
        <w:rPr>
          <w:u w:val="single"/>
        </w:rPr>
        <w:t xml:space="preserve"> the other party a fair opportunity to consider the records and respond</w:t>
      </w:r>
      <w:r>
        <w:t>.</w:t>
      </w:r>
      <w:r>
        <w:rPr>
          <w:rStyle w:val="EndnoteReference"/>
        </w:rPr>
        <w:endnoteReference w:id="4"/>
      </w:r>
      <w:r>
        <w:t xml:space="preserve">  </w:t>
      </w:r>
    </w:p>
    <w:p w14:paraId="61F3FC66" w14:textId="345CDD51" w:rsidR="005B72DF" w:rsidRPr="00527FF4" w:rsidRDefault="003D5AF4" w:rsidP="003D5AF4">
      <w:pPr>
        <w:pStyle w:val="ListParaNoIndent"/>
        <w:numPr>
          <w:ilvl w:val="0"/>
          <w:numId w:val="20"/>
        </w:numPr>
        <w:spacing w:line="480" w:lineRule="auto"/>
        <w:rPr>
          <w:szCs w:val="28"/>
          <w:u w:val="single"/>
        </w:rPr>
      </w:pPr>
      <w:r>
        <w:t>While it is best for such a certification to be sworn, it does not have to be sworn.</w:t>
      </w:r>
    </w:p>
    <w:p w14:paraId="69A3375A" w14:textId="164983A7" w:rsidR="00527FF4" w:rsidRDefault="00231243" w:rsidP="003D5AF4">
      <w:pPr>
        <w:pStyle w:val="ListParaNoIndent"/>
        <w:numPr>
          <w:ilvl w:val="0"/>
          <w:numId w:val="20"/>
        </w:numPr>
        <w:spacing w:line="480" w:lineRule="auto"/>
        <w:rPr>
          <w:szCs w:val="28"/>
          <w:u w:val="single"/>
        </w:rPr>
      </w:pPr>
      <w:r>
        <w:rPr>
          <w:szCs w:val="28"/>
          <w:u w:val="single"/>
        </w:rPr>
        <w:t xml:space="preserve">We are going to add a sample </w:t>
      </w:r>
      <w:r w:rsidR="00241844">
        <w:rPr>
          <w:szCs w:val="28"/>
          <w:u w:val="single"/>
        </w:rPr>
        <w:t xml:space="preserve">notice for </w:t>
      </w:r>
      <w:r>
        <w:rPr>
          <w:szCs w:val="28"/>
          <w:u w:val="single"/>
        </w:rPr>
        <w:t xml:space="preserve">business records </w:t>
      </w:r>
      <w:r w:rsidR="00241844">
        <w:rPr>
          <w:szCs w:val="28"/>
          <w:u w:val="single"/>
        </w:rPr>
        <w:t>under “the new way” of laying the foundation</w:t>
      </w:r>
      <w:r>
        <w:rPr>
          <w:szCs w:val="28"/>
          <w:u w:val="single"/>
        </w:rPr>
        <w:t xml:space="preserve"> on our website, </w:t>
      </w:r>
      <w:r w:rsidRPr="00231243">
        <w:rPr>
          <w:b/>
          <w:szCs w:val="28"/>
          <w:u w:val="single"/>
        </w:rPr>
        <w:t>goodjudgepod.com</w:t>
      </w:r>
      <w:r>
        <w:rPr>
          <w:szCs w:val="28"/>
          <w:u w:val="single"/>
        </w:rPr>
        <w:t xml:space="preserve"> </w:t>
      </w:r>
    </w:p>
    <w:p w14:paraId="3479875A" w14:textId="3C620EB5" w:rsidR="00231243" w:rsidRPr="002958AA" w:rsidRDefault="00231243" w:rsidP="003D5AF4">
      <w:pPr>
        <w:pStyle w:val="ListParaNoIndent"/>
        <w:numPr>
          <w:ilvl w:val="0"/>
          <w:numId w:val="20"/>
        </w:numPr>
        <w:spacing w:line="480" w:lineRule="auto"/>
        <w:rPr>
          <w:szCs w:val="28"/>
          <w:u w:val="single"/>
        </w:rPr>
      </w:pPr>
      <w:r>
        <w:rPr>
          <w:szCs w:val="28"/>
        </w:rPr>
        <w:lastRenderedPageBreak/>
        <w:t xml:space="preserve">So, </w:t>
      </w:r>
      <w:proofErr w:type="spellStart"/>
      <w:r>
        <w:rPr>
          <w:szCs w:val="28"/>
        </w:rPr>
        <w:t>Garon</w:t>
      </w:r>
      <w:proofErr w:type="spellEnd"/>
      <w:r>
        <w:rPr>
          <w:szCs w:val="28"/>
        </w:rPr>
        <w:t>.  What if the other party objects to you using the written certification instead of calling a live witness?  Can they prevent you from using the affidavit under 902(11) and (12)?</w:t>
      </w:r>
    </w:p>
    <w:p w14:paraId="18DB0B1A" w14:textId="662C8B4E" w:rsidR="002958AA" w:rsidRPr="00C6002C" w:rsidRDefault="002958AA" w:rsidP="003D5AF4">
      <w:pPr>
        <w:pStyle w:val="ListParaNoIndent"/>
        <w:numPr>
          <w:ilvl w:val="0"/>
          <w:numId w:val="20"/>
        </w:numPr>
        <w:spacing w:line="480" w:lineRule="auto"/>
        <w:rPr>
          <w:szCs w:val="28"/>
          <w:u w:val="single"/>
        </w:rPr>
      </w:pPr>
      <w:r>
        <w:rPr>
          <w:szCs w:val="28"/>
        </w:rPr>
        <w:t>[</w:t>
      </w:r>
      <w:proofErr w:type="spellStart"/>
      <w:r>
        <w:rPr>
          <w:szCs w:val="28"/>
        </w:rPr>
        <w:t>Garon</w:t>
      </w:r>
      <w:proofErr w:type="spellEnd"/>
      <w:r>
        <w:rPr>
          <w:szCs w:val="28"/>
        </w:rPr>
        <w:t>…]</w:t>
      </w:r>
    </w:p>
    <w:p w14:paraId="6C7B6A5B" w14:textId="5B674C77" w:rsidR="00F60D01" w:rsidRDefault="00C9653B" w:rsidP="006B6476">
      <w:pPr>
        <w:pStyle w:val="ListParaNoIndent"/>
        <w:numPr>
          <w:ilvl w:val="0"/>
          <w:numId w:val="0"/>
        </w:numPr>
        <w:spacing w:line="480" w:lineRule="auto"/>
        <w:rPr>
          <w:szCs w:val="28"/>
        </w:rPr>
      </w:pPr>
      <w:r>
        <w:rPr>
          <w:szCs w:val="28"/>
        </w:rPr>
        <w:pict w14:anchorId="6D9761A8">
          <v:rect id="_x0000_i1032" style="width:0;height:1.5pt" o:hralign="center" o:hrstd="t" o:hr="t" fillcolor="#a0a0a0" stroked="f"/>
        </w:pict>
      </w:r>
    </w:p>
    <w:p w14:paraId="24ED6958" w14:textId="60C89506" w:rsidR="002B5F37" w:rsidRDefault="002B5F37" w:rsidP="002B5F37">
      <w:pPr>
        <w:pStyle w:val="ListParaNoIndent"/>
        <w:numPr>
          <w:ilvl w:val="0"/>
          <w:numId w:val="0"/>
        </w:numPr>
        <w:spacing w:line="480" w:lineRule="auto"/>
        <w:jc w:val="center"/>
        <w:rPr>
          <w:b/>
          <w:szCs w:val="28"/>
          <w:u w:val="single"/>
        </w:rPr>
      </w:pPr>
      <w:r>
        <w:rPr>
          <w:b/>
          <w:i/>
          <w:szCs w:val="28"/>
          <w:u w:val="single"/>
        </w:rPr>
        <w:t>CRAWFORD</w:t>
      </w:r>
      <w:r>
        <w:rPr>
          <w:b/>
          <w:szCs w:val="28"/>
          <w:u w:val="single"/>
        </w:rPr>
        <w:t xml:space="preserve"> PROBLEMS</w:t>
      </w:r>
    </w:p>
    <w:p w14:paraId="1C10448D" w14:textId="7FC2BB4F" w:rsidR="008973E2" w:rsidRPr="008973E2" w:rsidRDefault="008973E2" w:rsidP="002B5F37">
      <w:pPr>
        <w:pStyle w:val="ListParaNoIndent"/>
        <w:numPr>
          <w:ilvl w:val="0"/>
          <w:numId w:val="20"/>
        </w:numPr>
        <w:spacing w:line="480" w:lineRule="auto"/>
        <w:rPr>
          <w:b/>
          <w:szCs w:val="28"/>
          <w:u w:val="single"/>
        </w:rPr>
      </w:pPr>
      <w:r>
        <w:rPr>
          <w:szCs w:val="28"/>
        </w:rPr>
        <w:t xml:space="preserve">Not to get off the topic, but in a criminal case, the judge also has to be aware of a potential objection under </w:t>
      </w:r>
      <w:r>
        <w:rPr>
          <w:i/>
          <w:szCs w:val="28"/>
        </w:rPr>
        <w:t>Crawford</w:t>
      </w:r>
      <w:r>
        <w:rPr>
          <w:szCs w:val="28"/>
        </w:rPr>
        <w:t>.</w:t>
      </w:r>
    </w:p>
    <w:p w14:paraId="6C98BACF" w14:textId="44FB63F2" w:rsidR="008973E2" w:rsidRPr="008973E2" w:rsidRDefault="008973E2" w:rsidP="008973E2">
      <w:pPr>
        <w:pStyle w:val="ListParaNoIndent"/>
        <w:numPr>
          <w:ilvl w:val="1"/>
          <w:numId w:val="20"/>
        </w:numPr>
        <w:spacing w:line="480" w:lineRule="auto"/>
        <w:rPr>
          <w:b/>
          <w:szCs w:val="28"/>
          <w:u w:val="single"/>
        </w:rPr>
      </w:pPr>
      <w:r>
        <w:rPr>
          <w:szCs w:val="28"/>
        </w:rPr>
        <w:t xml:space="preserve">You will recall that </w:t>
      </w:r>
      <w:r>
        <w:rPr>
          <w:i/>
          <w:szCs w:val="28"/>
        </w:rPr>
        <w:t xml:space="preserve">Crawford </w:t>
      </w:r>
      <w:r>
        <w:rPr>
          <w:szCs w:val="28"/>
        </w:rPr>
        <w:t>says that a defendant has the right to confront witnesses called against him</w:t>
      </w:r>
      <w:r w:rsidR="002B1AF7">
        <w:rPr>
          <w:szCs w:val="28"/>
        </w:rPr>
        <w:t>.  So allowing hearsay poses a 6</w:t>
      </w:r>
      <w:r w:rsidR="002B1AF7" w:rsidRPr="002B1AF7">
        <w:rPr>
          <w:szCs w:val="28"/>
          <w:vertAlign w:val="superscript"/>
        </w:rPr>
        <w:t>th</w:t>
      </w:r>
      <w:r w:rsidR="002B1AF7">
        <w:rPr>
          <w:szCs w:val="28"/>
        </w:rPr>
        <w:t xml:space="preserve"> Amendment problem</w:t>
      </w:r>
    </w:p>
    <w:p w14:paraId="0A09EBF6" w14:textId="375A3E2E" w:rsidR="002B5F37" w:rsidRPr="007F4A9B" w:rsidRDefault="002B5F37" w:rsidP="002B5F37">
      <w:pPr>
        <w:pStyle w:val="ListParaNoIndent"/>
        <w:numPr>
          <w:ilvl w:val="0"/>
          <w:numId w:val="20"/>
        </w:numPr>
        <w:spacing w:line="480" w:lineRule="auto"/>
        <w:rPr>
          <w:b/>
          <w:szCs w:val="28"/>
          <w:u w:val="single"/>
        </w:rPr>
      </w:pPr>
      <w:r>
        <w:rPr>
          <w:szCs w:val="28"/>
        </w:rPr>
        <w:t xml:space="preserve">Business records are not subject to a </w:t>
      </w:r>
      <w:r>
        <w:rPr>
          <w:i/>
          <w:szCs w:val="28"/>
        </w:rPr>
        <w:t>Crawford</w:t>
      </w:r>
      <w:r>
        <w:rPr>
          <w:szCs w:val="28"/>
        </w:rPr>
        <w:t xml:space="preserve"> objection unless the content of the statement is “testimonial.”</w:t>
      </w:r>
      <w:r>
        <w:rPr>
          <w:rStyle w:val="EndnoteReference"/>
          <w:szCs w:val="28"/>
        </w:rPr>
        <w:endnoteReference w:id="5"/>
      </w:r>
    </w:p>
    <w:p w14:paraId="2545ABC3" w14:textId="20CEB396" w:rsidR="008973E2" w:rsidRPr="008973E2" w:rsidRDefault="006E4C53" w:rsidP="008973E2">
      <w:pPr>
        <w:pStyle w:val="ListParaNoIndent"/>
        <w:numPr>
          <w:ilvl w:val="0"/>
          <w:numId w:val="20"/>
        </w:numPr>
        <w:spacing w:line="480" w:lineRule="auto"/>
        <w:rPr>
          <w:b/>
          <w:szCs w:val="28"/>
          <w:u w:val="single"/>
        </w:rPr>
      </w:pPr>
      <w:r w:rsidRPr="002B1AF7">
        <w:rPr>
          <w:i/>
          <w:szCs w:val="28"/>
        </w:rPr>
        <w:t>Crawford</w:t>
      </w:r>
      <w:r w:rsidRPr="008973E2">
        <w:rPr>
          <w:szCs w:val="28"/>
        </w:rPr>
        <w:t xml:space="preserve"> only applies to criminal cases</w:t>
      </w:r>
    </w:p>
    <w:p w14:paraId="34CC4A79" w14:textId="297C65AE" w:rsidR="008973E2" w:rsidRPr="008973E2" w:rsidRDefault="008973E2" w:rsidP="008973E2">
      <w:pPr>
        <w:pStyle w:val="ListParaNoIndent"/>
        <w:numPr>
          <w:ilvl w:val="1"/>
          <w:numId w:val="20"/>
        </w:numPr>
        <w:spacing w:line="480" w:lineRule="auto"/>
        <w:rPr>
          <w:b/>
          <w:szCs w:val="28"/>
          <w:u w:val="single"/>
        </w:rPr>
      </w:pPr>
      <w:r>
        <w:rPr>
          <w:szCs w:val="28"/>
        </w:rPr>
        <w:t xml:space="preserve">A drug test prepared for this particular probation revocation hearing or similar hearing </w:t>
      </w:r>
      <w:r>
        <w:rPr>
          <w:szCs w:val="28"/>
          <w:u w:val="single"/>
        </w:rPr>
        <w:t>is</w:t>
      </w:r>
      <w:r>
        <w:rPr>
          <w:szCs w:val="28"/>
        </w:rPr>
        <w:t xml:space="preserve"> testimonial.</w:t>
      </w:r>
      <w:r>
        <w:rPr>
          <w:rStyle w:val="EndnoteReference"/>
          <w:szCs w:val="28"/>
        </w:rPr>
        <w:endnoteReference w:id="6"/>
      </w:r>
    </w:p>
    <w:p w14:paraId="05CB18CE" w14:textId="7C1AA555" w:rsidR="006E4C53" w:rsidRPr="008973E2" w:rsidRDefault="006E4C53" w:rsidP="0033263A">
      <w:pPr>
        <w:pStyle w:val="ListParaNoIndent"/>
        <w:numPr>
          <w:ilvl w:val="0"/>
          <w:numId w:val="0"/>
        </w:numPr>
        <w:spacing w:line="480" w:lineRule="auto"/>
        <w:rPr>
          <w:b/>
          <w:szCs w:val="28"/>
          <w:u w:val="single"/>
        </w:rPr>
      </w:pPr>
      <w:r>
        <w:rPr>
          <w:szCs w:val="28"/>
        </w:rPr>
        <w:pict w14:anchorId="678ED479">
          <v:rect id="_x0000_i1042" style="width:0;height:1.5pt" o:hralign="center" o:hrstd="t" o:hr="t" fillcolor="#a0a0a0" stroked="f"/>
        </w:pict>
      </w:r>
    </w:p>
    <w:p w14:paraId="47C90082" w14:textId="77777777" w:rsidR="00B93E22" w:rsidRDefault="00B93E22" w:rsidP="006E4C53">
      <w:pPr>
        <w:pStyle w:val="ListParaNoIndent"/>
        <w:numPr>
          <w:ilvl w:val="0"/>
          <w:numId w:val="0"/>
        </w:numPr>
        <w:spacing w:line="480" w:lineRule="auto"/>
        <w:jc w:val="center"/>
        <w:rPr>
          <w:b/>
          <w:szCs w:val="28"/>
          <w:u w:val="single"/>
        </w:rPr>
      </w:pPr>
    </w:p>
    <w:p w14:paraId="3F1D22F7" w14:textId="508635C1" w:rsidR="006E4C53" w:rsidRPr="006E4C53" w:rsidRDefault="006E4C53" w:rsidP="006E4C53">
      <w:pPr>
        <w:pStyle w:val="ListParaNoIndent"/>
        <w:numPr>
          <w:ilvl w:val="0"/>
          <w:numId w:val="0"/>
        </w:numPr>
        <w:spacing w:line="480" w:lineRule="auto"/>
        <w:jc w:val="center"/>
        <w:rPr>
          <w:b/>
          <w:szCs w:val="28"/>
          <w:u w:val="single"/>
        </w:rPr>
      </w:pPr>
      <w:r>
        <w:rPr>
          <w:b/>
          <w:szCs w:val="28"/>
          <w:u w:val="single"/>
        </w:rPr>
        <w:lastRenderedPageBreak/>
        <w:t>PUBLIC RECORDS EXCEPTION-803(8)</w:t>
      </w:r>
    </w:p>
    <w:p w14:paraId="2C44CC0E" w14:textId="73576FB1" w:rsidR="006E4C53" w:rsidRPr="007669ED" w:rsidRDefault="006E4C53" w:rsidP="006E4C53">
      <w:pPr>
        <w:pStyle w:val="ListParaNoIndent"/>
        <w:numPr>
          <w:ilvl w:val="0"/>
          <w:numId w:val="20"/>
        </w:numPr>
        <w:spacing w:line="480" w:lineRule="auto"/>
        <w:rPr>
          <w:szCs w:val="28"/>
          <w:u w:val="single"/>
        </w:rPr>
      </w:pPr>
      <w:r w:rsidRPr="007669ED">
        <w:rPr>
          <w:szCs w:val="28"/>
          <w:u w:val="single"/>
        </w:rPr>
        <w:t xml:space="preserve">Public records are different than business records and have a different exception  </w:t>
      </w:r>
      <w:r w:rsidR="002958AA" w:rsidRPr="007669ED">
        <w:rPr>
          <w:szCs w:val="28"/>
          <w:u w:val="single"/>
        </w:rPr>
        <w:t>(§24</w:t>
      </w:r>
      <w:r w:rsidRPr="007669ED">
        <w:rPr>
          <w:szCs w:val="28"/>
          <w:u w:val="single"/>
        </w:rPr>
        <w:t>-8-803(8)</w:t>
      </w:r>
      <w:r w:rsidR="002958AA" w:rsidRPr="007669ED">
        <w:rPr>
          <w:szCs w:val="28"/>
          <w:u w:val="single"/>
        </w:rPr>
        <w:t>)</w:t>
      </w:r>
    </w:p>
    <w:p w14:paraId="4F8E874A" w14:textId="03CDB9BC" w:rsidR="006E4C53" w:rsidRDefault="007669ED" w:rsidP="006E4C53">
      <w:pPr>
        <w:pStyle w:val="ListParaNoIndent"/>
        <w:numPr>
          <w:ilvl w:val="0"/>
          <w:numId w:val="20"/>
        </w:numPr>
        <w:spacing w:line="480" w:lineRule="auto"/>
        <w:rPr>
          <w:szCs w:val="28"/>
        </w:rPr>
      </w:pPr>
      <w:r>
        <w:rPr>
          <w:szCs w:val="28"/>
        </w:rPr>
        <w:t xml:space="preserve">There are </w:t>
      </w:r>
      <w:r w:rsidR="006E4C53">
        <w:rPr>
          <w:szCs w:val="28"/>
        </w:rPr>
        <w:t>3 types</w:t>
      </w:r>
      <w:r w:rsidR="002958AA">
        <w:rPr>
          <w:szCs w:val="28"/>
        </w:rPr>
        <w:t xml:space="preserve"> of public records:</w:t>
      </w:r>
    </w:p>
    <w:p w14:paraId="54467800" w14:textId="68003592" w:rsidR="006E4C53" w:rsidRDefault="006E4C53" w:rsidP="006E4C53">
      <w:pPr>
        <w:pStyle w:val="ListParaNoIndent"/>
        <w:numPr>
          <w:ilvl w:val="1"/>
          <w:numId w:val="20"/>
        </w:numPr>
        <w:spacing w:line="480" w:lineRule="auto"/>
        <w:rPr>
          <w:szCs w:val="28"/>
        </w:rPr>
      </w:pPr>
      <w:r>
        <w:rPr>
          <w:szCs w:val="28"/>
        </w:rPr>
        <w:t xml:space="preserve">activities of public office </w:t>
      </w:r>
      <w:r w:rsidR="007669ED">
        <w:rPr>
          <w:szCs w:val="28"/>
        </w:rPr>
        <w:t>[</w:t>
      </w:r>
      <w:proofErr w:type="spellStart"/>
      <w:r w:rsidR="007669ED">
        <w:rPr>
          <w:szCs w:val="28"/>
        </w:rPr>
        <w:t>Garon</w:t>
      </w:r>
      <w:proofErr w:type="spellEnd"/>
      <w:r w:rsidR="007669ED">
        <w:rPr>
          <w:szCs w:val="28"/>
        </w:rPr>
        <w:t xml:space="preserve">] </w:t>
      </w:r>
      <w:r>
        <w:rPr>
          <w:szCs w:val="28"/>
        </w:rPr>
        <w:t>(mundane, record-keeping)</w:t>
      </w:r>
    </w:p>
    <w:p w14:paraId="29A71235" w14:textId="30B0534F" w:rsidR="00907663" w:rsidRDefault="00907663" w:rsidP="006E4C53">
      <w:pPr>
        <w:pStyle w:val="ListParaNoIndent"/>
        <w:numPr>
          <w:ilvl w:val="1"/>
          <w:numId w:val="20"/>
        </w:numPr>
        <w:spacing w:line="480" w:lineRule="auto"/>
        <w:rPr>
          <w:szCs w:val="28"/>
        </w:rPr>
      </w:pPr>
      <w:r>
        <w:rPr>
          <w:szCs w:val="28"/>
        </w:rPr>
        <w:t xml:space="preserve">matters observed pursuant to duty </w:t>
      </w:r>
      <w:r w:rsidR="007669ED">
        <w:rPr>
          <w:szCs w:val="28"/>
        </w:rPr>
        <w:t>[</w:t>
      </w:r>
      <w:proofErr w:type="spellStart"/>
      <w:r w:rsidR="007669ED">
        <w:rPr>
          <w:szCs w:val="28"/>
        </w:rPr>
        <w:t>Garon</w:t>
      </w:r>
      <w:proofErr w:type="spellEnd"/>
      <w:r w:rsidR="007669ED">
        <w:rPr>
          <w:szCs w:val="28"/>
        </w:rPr>
        <w:t xml:space="preserve">] </w:t>
      </w:r>
      <w:r>
        <w:rPr>
          <w:szCs w:val="28"/>
        </w:rPr>
        <w:t>(i.e</w:t>
      </w:r>
      <w:r w:rsidR="00CD4F49">
        <w:rPr>
          <w:szCs w:val="28"/>
        </w:rPr>
        <w:t xml:space="preserve">. entries in GCIC; Police report if </w:t>
      </w:r>
      <w:r w:rsidR="007669ED">
        <w:rPr>
          <w:szCs w:val="28"/>
        </w:rPr>
        <w:t xml:space="preserve">offered </w:t>
      </w:r>
      <w:r w:rsidR="00CD4F49">
        <w:rPr>
          <w:szCs w:val="28"/>
        </w:rPr>
        <w:t>by defendant or in a civil case; Intoxilyzer reports; speed detection certificates</w:t>
      </w:r>
      <w:r>
        <w:rPr>
          <w:szCs w:val="28"/>
        </w:rPr>
        <w:t>)</w:t>
      </w:r>
    </w:p>
    <w:p w14:paraId="6CE00AEE" w14:textId="5DB0B900" w:rsidR="00907663" w:rsidRDefault="007669ED" w:rsidP="00907663">
      <w:pPr>
        <w:pStyle w:val="ListParaNoIndent"/>
        <w:numPr>
          <w:ilvl w:val="2"/>
          <w:numId w:val="20"/>
        </w:numPr>
        <w:spacing w:line="480" w:lineRule="auto"/>
        <w:rPr>
          <w:szCs w:val="28"/>
        </w:rPr>
      </w:pPr>
      <w:r>
        <w:rPr>
          <w:szCs w:val="28"/>
        </w:rPr>
        <w:t>[</w:t>
      </w:r>
      <w:proofErr w:type="spellStart"/>
      <w:r>
        <w:rPr>
          <w:szCs w:val="28"/>
        </w:rPr>
        <w:t>Garon</w:t>
      </w:r>
      <w:proofErr w:type="spellEnd"/>
      <w:r>
        <w:rPr>
          <w:szCs w:val="28"/>
        </w:rPr>
        <w:t xml:space="preserve">] </w:t>
      </w:r>
      <w:r w:rsidR="00907663">
        <w:rPr>
          <w:szCs w:val="28"/>
        </w:rPr>
        <w:t>except in criminal case against the accused (ok in a civil case)</w:t>
      </w:r>
    </w:p>
    <w:p w14:paraId="564642EE" w14:textId="1C0EA785" w:rsidR="00907663" w:rsidRDefault="00907663" w:rsidP="00907663">
      <w:pPr>
        <w:pStyle w:val="ListParaNoIndent"/>
        <w:numPr>
          <w:ilvl w:val="1"/>
          <w:numId w:val="20"/>
        </w:numPr>
        <w:spacing w:line="480" w:lineRule="auto"/>
        <w:rPr>
          <w:szCs w:val="28"/>
        </w:rPr>
      </w:pPr>
      <w:r>
        <w:rPr>
          <w:szCs w:val="28"/>
        </w:rPr>
        <w:t>factual findings resulting from investigation</w:t>
      </w:r>
      <w:r w:rsidR="00DE2733">
        <w:rPr>
          <w:szCs w:val="28"/>
        </w:rPr>
        <w:t xml:space="preserve"> unless</w:t>
      </w:r>
      <w:r w:rsidR="004E6F9A">
        <w:rPr>
          <w:szCs w:val="28"/>
        </w:rPr>
        <w:t>..,</w:t>
      </w:r>
      <w:r w:rsidR="00B93E22">
        <w:rPr>
          <w:szCs w:val="28"/>
        </w:rPr>
        <w:t xml:space="preserve"> </w:t>
      </w:r>
      <w:proofErr w:type="spellStart"/>
      <w:r w:rsidR="00B93E22">
        <w:rPr>
          <w:szCs w:val="28"/>
        </w:rPr>
        <w:t>Garon</w:t>
      </w:r>
      <w:proofErr w:type="spellEnd"/>
      <w:r w:rsidR="004E6F9A">
        <w:rPr>
          <w:szCs w:val="28"/>
        </w:rPr>
        <w:t xml:space="preserve"> [</w:t>
      </w:r>
      <w:proofErr w:type="spellStart"/>
      <w:r w:rsidR="004E6F9A">
        <w:rPr>
          <w:szCs w:val="28"/>
        </w:rPr>
        <w:t>Garon</w:t>
      </w:r>
      <w:proofErr w:type="spellEnd"/>
      <w:r w:rsidR="004E6F9A">
        <w:rPr>
          <w:szCs w:val="28"/>
        </w:rPr>
        <w:t>]</w:t>
      </w:r>
      <w:r w:rsidR="00DE2733">
        <w:rPr>
          <w:szCs w:val="28"/>
        </w:rPr>
        <w:t xml:space="preserve"> information supporting the investigation lacks trustworthiness</w:t>
      </w:r>
    </w:p>
    <w:p w14:paraId="76F7B931" w14:textId="5C874379" w:rsidR="006E4C53" w:rsidRDefault="00B93E22" w:rsidP="006E4C53">
      <w:pPr>
        <w:pStyle w:val="ListParaNoIndent"/>
        <w:numPr>
          <w:ilvl w:val="0"/>
          <w:numId w:val="20"/>
        </w:numPr>
        <w:spacing w:line="480" w:lineRule="auto"/>
        <w:rPr>
          <w:szCs w:val="28"/>
        </w:rPr>
      </w:pPr>
      <w:r>
        <w:rPr>
          <w:szCs w:val="28"/>
        </w:rPr>
        <w:t>[</w:t>
      </w:r>
      <w:proofErr w:type="spellStart"/>
      <w:r>
        <w:rPr>
          <w:szCs w:val="28"/>
        </w:rPr>
        <w:t>Garon</w:t>
      </w:r>
      <w:proofErr w:type="spellEnd"/>
      <w:r>
        <w:rPr>
          <w:szCs w:val="28"/>
        </w:rPr>
        <w:t xml:space="preserve">] </w:t>
      </w:r>
      <w:r w:rsidR="00CD4F49">
        <w:rPr>
          <w:szCs w:val="28"/>
        </w:rPr>
        <w:t>§24-9-920 is the authentication provision</w:t>
      </w:r>
    </w:p>
    <w:p w14:paraId="3EA5D8E0" w14:textId="37DF5FAD" w:rsidR="00CD4F49" w:rsidRDefault="00CD4F49" w:rsidP="00CD4F49">
      <w:pPr>
        <w:pStyle w:val="ListParaNoIndent"/>
        <w:numPr>
          <w:ilvl w:val="0"/>
          <w:numId w:val="0"/>
        </w:numPr>
        <w:spacing w:line="480" w:lineRule="auto"/>
        <w:rPr>
          <w:szCs w:val="28"/>
        </w:rPr>
      </w:pPr>
      <w:r>
        <w:rPr>
          <w:szCs w:val="28"/>
        </w:rPr>
        <w:pict w14:anchorId="456240B0">
          <v:rect id="_x0000_i1043" style="width:0;height:1.5pt" o:hralign="center" o:hrstd="t" o:hr="t" fillcolor="#a0a0a0" stroked="f"/>
        </w:pict>
      </w:r>
    </w:p>
    <w:p w14:paraId="0F6638D5" w14:textId="73D3BCD8" w:rsidR="00CD4F49" w:rsidRDefault="00CD4F49" w:rsidP="00CD4F49">
      <w:pPr>
        <w:pStyle w:val="ListParaNoIndent"/>
        <w:numPr>
          <w:ilvl w:val="0"/>
          <w:numId w:val="0"/>
        </w:numPr>
        <w:spacing w:line="480" w:lineRule="auto"/>
        <w:jc w:val="center"/>
        <w:rPr>
          <w:b/>
          <w:szCs w:val="28"/>
          <w:u w:val="single"/>
        </w:rPr>
      </w:pPr>
      <w:r>
        <w:rPr>
          <w:b/>
          <w:szCs w:val="28"/>
          <w:u w:val="single"/>
        </w:rPr>
        <w:t>HEARSAY MUST BE OBJECTED TO</w:t>
      </w:r>
    </w:p>
    <w:p w14:paraId="1D00A1AF" w14:textId="3327F515" w:rsidR="00CD4F49" w:rsidRPr="004E6F9A" w:rsidRDefault="00CD4F49" w:rsidP="00CD4F49">
      <w:pPr>
        <w:pStyle w:val="ListParaNoIndent"/>
        <w:numPr>
          <w:ilvl w:val="0"/>
          <w:numId w:val="20"/>
        </w:numPr>
        <w:spacing w:line="480" w:lineRule="auto"/>
        <w:rPr>
          <w:b/>
          <w:szCs w:val="28"/>
          <w:u w:val="single"/>
        </w:rPr>
      </w:pPr>
      <w:r w:rsidRPr="004E6F9A">
        <w:rPr>
          <w:szCs w:val="28"/>
          <w:u w:val="single"/>
        </w:rPr>
        <w:t>This is different than the old rules</w:t>
      </w:r>
    </w:p>
    <w:p w14:paraId="1EF20125" w14:textId="025D174E" w:rsidR="00CD4F49" w:rsidRPr="004E6F9A" w:rsidRDefault="00CD4F49" w:rsidP="00CD4F49">
      <w:pPr>
        <w:pStyle w:val="ListParaNoIndent"/>
        <w:numPr>
          <w:ilvl w:val="1"/>
          <w:numId w:val="20"/>
        </w:numPr>
        <w:spacing w:line="480" w:lineRule="auto"/>
        <w:rPr>
          <w:b/>
          <w:szCs w:val="28"/>
          <w:u w:val="single"/>
        </w:rPr>
      </w:pPr>
      <w:r w:rsidRPr="004E6F9A">
        <w:rPr>
          <w:szCs w:val="28"/>
          <w:u w:val="single"/>
        </w:rPr>
        <w:t>Old rules said hearsay was illegal evidence and had no evidentiary value</w:t>
      </w:r>
    </w:p>
    <w:p w14:paraId="2C03518B" w14:textId="168D6DA6" w:rsidR="0046791C" w:rsidRPr="00B93E22" w:rsidRDefault="00CD4F49" w:rsidP="00B93E22">
      <w:pPr>
        <w:pStyle w:val="ListParaNoIndent"/>
        <w:numPr>
          <w:ilvl w:val="1"/>
          <w:numId w:val="20"/>
        </w:numPr>
        <w:spacing w:line="480" w:lineRule="auto"/>
        <w:rPr>
          <w:szCs w:val="28"/>
        </w:rPr>
      </w:pPr>
      <w:r w:rsidRPr="00B93E22">
        <w:rPr>
          <w:szCs w:val="28"/>
          <w:u w:val="single"/>
        </w:rPr>
        <w:lastRenderedPageBreak/>
        <w:t>N</w:t>
      </w:r>
      <w:bookmarkStart w:id="0" w:name="_GoBack"/>
      <w:bookmarkEnd w:id="0"/>
      <w:r w:rsidRPr="00B93E22">
        <w:rPr>
          <w:szCs w:val="28"/>
          <w:u w:val="single"/>
        </w:rPr>
        <w:t>ew rules say that hearsay comes in unless timely objection made (§24-8-802)</w:t>
      </w:r>
      <w:r w:rsidR="0046791C">
        <w:rPr>
          <w:szCs w:val="28"/>
        </w:rPr>
        <w:pict w14:anchorId="653EB9A0">
          <v:rect id="_x0000_i1045" style="width:0;height:1.5pt" o:hralign="center" o:hrstd="t" o:hr="t" fillcolor="#a0a0a0" stroked="f"/>
        </w:pict>
      </w:r>
    </w:p>
    <w:p w14:paraId="1C9F9E01" w14:textId="5DDD78CD" w:rsidR="0046791C" w:rsidRPr="0046791C" w:rsidRDefault="0046791C" w:rsidP="0046791C">
      <w:pPr>
        <w:pStyle w:val="ListParaNoIndent"/>
        <w:numPr>
          <w:ilvl w:val="0"/>
          <w:numId w:val="0"/>
        </w:numPr>
        <w:spacing w:line="480" w:lineRule="auto"/>
        <w:jc w:val="center"/>
        <w:rPr>
          <w:b/>
          <w:szCs w:val="28"/>
          <w:u w:val="single"/>
        </w:rPr>
      </w:pPr>
      <w:r>
        <w:rPr>
          <w:b/>
          <w:szCs w:val="28"/>
          <w:u w:val="single"/>
        </w:rPr>
        <w:t>CONCLUSION</w:t>
      </w:r>
    </w:p>
    <w:p w14:paraId="7122A1FF" w14:textId="45B63EB0" w:rsidR="00B93E22" w:rsidRPr="00B93E22" w:rsidRDefault="00B93E22" w:rsidP="0046791C">
      <w:pPr>
        <w:pStyle w:val="ListParaNoIndent"/>
        <w:numPr>
          <w:ilvl w:val="0"/>
          <w:numId w:val="20"/>
        </w:numPr>
        <w:spacing w:line="480" w:lineRule="auto"/>
        <w:rPr>
          <w:b/>
          <w:szCs w:val="28"/>
          <w:u w:val="single"/>
        </w:rPr>
      </w:pPr>
      <w:proofErr w:type="spellStart"/>
      <w:r>
        <w:rPr>
          <w:szCs w:val="28"/>
        </w:rPr>
        <w:t>Garon</w:t>
      </w:r>
      <w:proofErr w:type="spellEnd"/>
      <w:r>
        <w:rPr>
          <w:szCs w:val="28"/>
        </w:rPr>
        <w:t>, give everyone a conclusion on this session.</w:t>
      </w:r>
    </w:p>
    <w:p w14:paraId="52257512" w14:textId="6FFDA7FE" w:rsidR="0046791C" w:rsidRPr="0046791C" w:rsidRDefault="004E6F9A" w:rsidP="0046791C">
      <w:pPr>
        <w:pStyle w:val="ListParaNoIndent"/>
        <w:numPr>
          <w:ilvl w:val="0"/>
          <w:numId w:val="20"/>
        </w:numPr>
        <w:spacing w:line="480" w:lineRule="auto"/>
        <w:rPr>
          <w:b/>
          <w:szCs w:val="28"/>
          <w:u w:val="single"/>
        </w:rPr>
      </w:pPr>
      <w:r>
        <w:rPr>
          <w:szCs w:val="28"/>
        </w:rPr>
        <w:t>[</w:t>
      </w:r>
      <w:proofErr w:type="spellStart"/>
      <w:r>
        <w:rPr>
          <w:szCs w:val="28"/>
        </w:rPr>
        <w:t>Garon</w:t>
      </w:r>
      <w:proofErr w:type="spellEnd"/>
      <w:r>
        <w:rPr>
          <w:szCs w:val="28"/>
        </w:rPr>
        <w:t xml:space="preserve">] </w:t>
      </w:r>
      <w:r w:rsidR="00DE2733">
        <w:rPr>
          <w:szCs w:val="28"/>
        </w:rPr>
        <w:t>The focus of b</w:t>
      </w:r>
      <w:r w:rsidR="0046791C">
        <w:rPr>
          <w:szCs w:val="28"/>
        </w:rPr>
        <w:t xml:space="preserve">usiness records </w:t>
      </w:r>
      <w:r w:rsidR="00DE2733">
        <w:rPr>
          <w:szCs w:val="28"/>
        </w:rPr>
        <w:t>is that they be</w:t>
      </w:r>
      <w:r w:rsidR="0046791C">
        <w:rPr>
          <w:szCs w:val="28"/>
        </w:rPr>
        <w:t xml:space="preserve"> “made in normal course of business” and not “in anticipation of litigation”</w:t>
      </w:r>
    </w:p>
    <w:p w14:paraId="7EF32347" w14:textId="68AEC59A" w:rsidR="0046791C" w:rsidRPr="00045BD4" w:rsidRDefault="004E6F9A" w:rsidP="0046791C">
      <w:pPr>
        <w:pStyle w:val="ListParaNoIndent"/>
        <w:numPr>
          <w:ilvl w:val="0"/>
          <w:numId w:val="20"/>
        </w:numPr>
        <w:spacing w:line="480" w:lineRule="auto"/>
        <w:rPr>
          <w:b/>
          <w:szCs w:val="28"/>
          <w:u w:val="single"/>
        </w:rPr>
      </w:pPr>
      <w:r>
        <w:rPr>
          <w:szCs w:val="28"/>
        </w:rPr>
        <w:t>[</w:t>
      </w:r>
      <w:proofErr w:type="spellStart"/>
      <w:r>
        <w:rPr>
          <w:szCs w:val="28"/>
        </w:rPr>
        <w:t>Garon</w:t>
      </w:r>
      <w:proofErr w:type="spellEnd"/>
      <w:r>
        <w:rPr>
          <w:szCs w:val="28"/>
        </w:rPr>
        <w:t xml:space="preserve">] </w:t>
      </w:r>
      <w:r w:rsidR="0046791C">
        <w:rPr>
          <w:szCs w:val="28"/>
        </w:rPr>
        <w:t>803(6)</w:t>
      </w:r>
      <w:r w:rsidR="00BC5962">
        <w:rPr>
          <w:szCs w:val="28"/>
        </w:rPr>
        <w:t xml:space="preserve"> (business records)</w:t>
      </w:r>
      <w:r w:rsidR="0046791C">
        <w:rPr>
          <w:szCs w:val="28"/>
        </w:rPr>
        <w:t xml:space="preserve"> and 803(8) </w:t>
      </w:r>
      <w:r w:rsidR="00BC5962">
        <w:rPr>
          <w:szCs w:val="28"/>
        </w:rPr>
        <w:t xml:space="preserve">(public records) </w:t>
      </w:r>
      <w:r w:rsidR="0046791C">
        <w:rPr>
          <w:szCs w:val="28"/>
        </w:rPr>
        <w:t>are different</w:t>
      </w:r>
      <w:r w:rsidR="00045BD4">
        <w:rPr>
          <w:szCs w:val="28"/>
        </w:rPr>
        <w:t xml:space="preserve"> and have different rules</w:t>
      </w:r>
    </w:p>
    <w:p w14:paraId="4BEA9963" w14:textId="16A58311" w:rsidR="00045BD4" w:rsidRPr="00045BD4" w:rsidRDefault="004E6F9A" w:rsidP="00045BD4">
      <w:pPr>
        <w:pStyle w:val="ListParaNoIndent"/>
        <w:numPr>
          <w:ilvl w:val="0"/>
          <w:numId w:val="20"/>
        </w:numPr>
        <w:spacing w:line="480" w:lineRule="auto"/>
        <w:rPr>
          <w:b/>
          <w:szCs w:val="28"/>
          <w:u w:val="single"/>
        </w:rPr>
      </w:pPr>
      <w:r>
        <w:rPr>
          <w:szCs w:val="28"/>
        </w:rPr>
        <w:t>[</w:t>
      </w:r>
      <w:proofErr w:type="spellStart"/>
      <w:r>
        <w:rPr>
          <w:szCs w:val="28"/>
        </w:rPr>
        <w:t>Garon</w:t>
      </w:r>
      <w:proofErr w:type="spellEnd"/>
      <w:r>
        <w:rPr>
          <w:szCs w:val="28"/>
        </w:rPr>
        <w:t xml:space="preserve">] </w:t>
      </w:r>
      <w:r w:rsidR="00045BD4">
        <w:rPr>
          <w:szCs w:val="28"/>
        </w:rPr>
        <w:t>As the judge, even if the evidence qualifies as a business record, if the surrounding circumstances call that evidence’s reliability into question, you can rule it out</w:t>
      </w:r>
    </w:p>
    <w:p w14:paraId="4DB5791D" w14:textId="7F403B2A" w:rsidR="00045BD4" w:rsidRPr="00045BD4" w:rsidRDefault="004E6F9A" w:rsidP="00045BD4">
      <w:pPr>
        <w:pStyle w:val="ListParaNoIndent"/>
        <w:numPr>
          <w:ilvl w:val="0"/>
          <w:numId w:val="20"/>
        </w:numPr>
        <w:spacing w:line="480" w:lineRule="auto"/>
        <w:rPr>
          <w:b/>
          <w:szCs w:val="28"/>
          <w:u w:val="single"/>
        </w:rPr>
      </w:pPr>
      <w:r>
        <w:rPr>
          <w:szCs w:val="28"/>
        </w:rPr>
        <w:t>[</w:t>
      </w:r>
      <w:proofErr w:type="spellStart"/>
      <w:r>
        <w:rPr>
          <w:szCs w:val="28"/>
        </w:rPr>
        <w:t>Garon</w:t>
      </w:r>
      <w:proofErr w:type="spellEnd"/>
      <w:r>
        <w:rPr>
          <w:szCs w:val="28"/>
        </w:rPr>
        <w:t xml:space="preserve">] </w:t>
      </w:r>
      <w:r w:rsidR="00045BD4">
        <w:rPr>
          <w:szCs w:val="28"/>
        </w:rPr>
        <w:t>Business records are authenticated under §902(11) and (12)</w:t>
      </w:r>
    </w:p>
    <w:p w14:paraId="413B34DC" w14:textId="6C07BF7D" w:rsidR="004E6F9A" w:rsidRDefault="004E6F9A" w:rsidP="004E6F9A">
      <w:pPr>
        <w:pStyle w:val="ListParaNoIndent"/>
        <w:numPr>
          <w:ilvl w:val="0"/>
          <w:numId w:val="20"/>
        </w:numPr>
        <w:spacing w:line="480" w:lineRule="auto"/>
        <w:rPr>
          <w:b/>
          <w:szCs w:val="28"/>
          <w:u w:val="single"/>
        </w:rPr>
      </w:pPr>
      <w:r>
        <w:rPr>
          <w:szCs w:val="28"/>
        </w:rPr>
        <w:t>[</w:t>
      </w:r>
      <w:proofErr w:type="spellStart"/>
      <w:r>
        <w:rPr>
          <w:szCs w:val="28"/>
        </w:rPr>
        <w:t>Garon</w:t>
      </w:r>
      <w:proofErr w:type="spellEnd"/>
      <w:r>
        <w:rPr>
          <w:szCs w:val="28"/>
        </w:rPr>
        <w:t xml:space="preserve">] </w:t>
      </w:r>
      <w:r w:rsidR="00045BD4">
        <w:rPr>
          <w:szCs w:val="28"/>
        </w:rPr>
        <w:t xml:space="preserve">Public records are authenticated under §920 </w:t>
      </w:r>
    </w:p>
    <w:p w14:paraId="004A1626" w14:textId="46B53867" w:rsidR="004E6F9A" w:rsidRPr="004E6F9A" w:rsidRDefault="004E6F9A" w:rsidP="004E6F9A">
      <w:pPr>
        <w:pStyle w:val="ListParaNoIndent"/>
        <w:numPr>
          <w:ilvl w:val="0"/>
          <w:numId w:val="0"/>
        </w:numPr>
        <w:spacing w:line="480" w:lineRule="auto"/>
        <w:rPr>
          <w:b/>
          <w:szCs w:val="28"/>
          <w:u w:val="single"/>
        </w:rPr>
      </w:pPr>
      <w:r>
        <w:rPr>
          <w:szCs w:val="28"/>
        </w:rPr>
        <w:pict w14:anchorId="01DAECA5">
          <v:rect id="_x0000_i1048" style="width:0;height:1.5pt" o:hralign="center" o:hrstd="t" o:hr="t" fillcolor="#a0a0a0" stroked="f"/>
        </w:pict>
      </w:r>
    </w:p>
    <w:p w14:paraId="4C920013" w14:textId="77777777" w:rsidR="006E4C53" w:rsidRDefault="006E4C53" w:rsidP="006833E1">
      <w:pPr>
        <w:pStyle w:val="ListParaNoIndent"/>
        <w:numPr>
          <w:ilvl w:val="0"/>
          <w:numId w:val="0"/>
        </w:numPr>
        <w:spacing w:line="480" w:lineRule="auto"/>
        <w:rPr>
          <w:szCs w:val="28"/>
        </w:rPr>
      </w:pPr>
    </w:p>
    <w:p w14:paraId="0612DBBB" w14:textId="352AF8A7" w:rsidR="00C276B9" w:rsidRPr="00906E00" w:rsidRDefault="006833E1" w:rsidP="006833E1">
      <w:pPr>
        <w:pStyle w:val="ListParaNoIndent"/>
        <w:numPr>
          <w:ilvl w:val="0"/>
          <w:numId w:val="0"/>
        </w:numPr>
        <w:spacing w:line="480" w:lineRule="auto"/>
        <w:rPr>
          <w:szCs w:val="28"/>
        </w:rPr>
      </w:pPr>
      <w:r>
        <w:rPr>
          <w:szCs w:val="28"/>
        </w:rPr>
        <w:t>[ending script]</w:t>
      </w:r>
    </w:p>
    <w:p w14:paraId="44E5D125" w14:textId="4B0D1D4C" w:rsidR="00C276B9" w:rsidRPr="00906E00" w:rsidRDefault="00C276B9" w:rsidP="00710DF1">
      <w:pPr>
        <w:pStyle w:val="ListParaNoIndent"/>
        <w:numPr>
          <w:ilvl w:val="0"/>
          <w:numId w:val="0"/>
        </w:numPr>
        <w:spacing w:line="480" w:lineRule="auto"/>
        <w:ind w:left="1170" w:hanging="360"/>
        <w:rPr>
          <w:szCs w:val="28"/>
        </w:rPr>
      </w:pPr>
    </w:p>
    <w:p w14:paraId="7F35FD20" w14:textId="77777777" w:rsidR="005637AD" w:rsidRPr="00906E00" w:rsidRDefault="005637AD">
      <w:pPr>
        <w:rPr>
          <w:sz w:val="28"/>
          <w:szCs w:val="28"/>
        </w:rPr>
      </w:pPr>
    </w:p>
    <w:sectPr w:rsidR="005637AD" w:rsidRPr="00906E0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E64D" w14:textId="77777777" w:rsidR="00C9653B" w:rsidRDefault="00C9653B" w:rsidP="00E57DDA">
      <w:pPr>
        <w:spacing w:after="0" w:line="240" w:lineRule="auto"/>
      </w:pPr>
      <w:r>
        <w:separator/>
      </w:r>
    </w:p>
  </w:endnote>
  <w:endnote w:type="continuationSeparator" w:id="0">
    <w:p w14:paraId="7E3681F4" w14:textId="77777777" w:rsidR="00C9653B" w:rsidRDefault="00C9653B" w:rsidP="00E57DDA">
      <w:pPr>
        <w:spacing w:after="0" w:line="240" w:lineRule="auto"/>
      </w:pPr>
      <w:r>
        <w:continuationSeparator/>
      </w:r>
    </w:p>
  </w:endnote>
  <w:endnote w:id="1">
    <w:p w14:paraId="51A59A50" w14:textId="52D16172" w:rsidR="00F11A4B" w:rsidRDefault="00F11A4B">
      <w:pPr>
        <w:pStyle w:val="EndnoteText"/>
      </w:pPr>
      <w:r>
        <w:rPr>
          <w:rStyle w:val="EndnoteReference"/>
        </w:rPr>
        <w:endnoteRef/>
      </w:r>
      <w:r>
        <w:t xml:space="preserve"> </w:t>
      </w:r>
      <w:r w:rsidRPr="00F11A4B">
        <w:rPr>
          <w:i/>
        </w:rPr>
        <w:t>Stewart v. State</w:t>
      </w:r>
      <w:r w:rsidRPr="00F11A4B">
        <w:t>, 246 Ga. 70, 74 (1980).</w:t>
      </w:r>
    </w:p>
  </w:endnote>
  <w:endnote w:id="2">
    <w:p w14:paraId="35126E53" w14:textId="556C9294" w:rsidR="00BE5A7B" w:rsidRPr="00BE5A7B" w:rsidRDefault="00BE5A7B" w:rsidP="00BE5A7B">
      <w:pPr>
        <w:pStyle w:val="EndnoteText"/>
        <w:ind w:left="0" w:firstLine="0"/>
      </w:pPr>
      <w:r>
        <w:rPr>
          <w:rStyle w:val="EndnoteReference"/>
        </w:rPr>
        <w:endnoteRef/>
      </w:r>
      <w:r>
        <w:t xml:space="preserve"> </w:t>
      </w:r>
      <w:proofErr w:type="spellStart"/>
      <w:r w:rsidRPr="00BE5A7B">
        <w:rPr>
          <w:i/>
        </w:rPr>
        <w:t>D'Agnese</w:t>
      </w:r>
      <w:proofErr w:type="spellEnd"/>
      <w:r w:rsidRPr="00BE5A7B">
        <w:rPr>
          <w:i/>
        </w:rPr>
        <w:t xml:space="preserve"> v. Wells Fargo Bank, </w:t>
      </w:r>
      <w:proofErr w:type="spellStart"/>
      <w:r w:rsidRPr="00BE5A7B">
        <w:rPr>
          <w:i/>
        </w:rPr>
        <w:t>N.A</w:t>
      </w:r>
      <w:proofErr w:type="spellEnd"/>
      <w:r w:rsidRPr="00BE5A7B">
        <w:rPr>
          <w:i/>
        </w:rPr>
        <w:t>.</w:t>
      </w:r>
      <w:r>
        <w:t xml:space="preserve">, </w:t>
      </w:r>
      <w:r w:rsidRPr="00BE5A7B">
        <w:t>335 Ga.</w:t>
      </w:r>
      <w:r>
        <w:t xml:space="preserve"> </w:t>
      </w:r>
      <w:r w:rsidRPr="00BE5A7B">
        <w:t>App. 659</w:t>
      </w:r>
      <w:r>
        <w:t xml:space="preserve"> (2019).</w:t>
      </w:r>
    </w:p>
  </w:endnote>
  <w:endnote w:id="3">
    <w:p w14:paraId="718BD5AD" w14:textId="77777777" w:rsidR="003D5AF4" w:rsidRPr="009C6836" w:rsidRDefault="003D5AF4" w:rsidP="003D5AF4">
      <w:pPr>
        <w:pStyle w:val="EndnoteText"/>
      </w:pPr>
      <w:r>
        <w:rPr>
          <w:rStyle w:val="EndnoteReference"/>
        </w:rPr>
        <w:endnoteRef/>
      </w:r>
      <w:r>
        <w:t xml:space="preserve"> </w:t>
      </w:r>
      <w:r>
        <w:rPr>
          <w:i/>
        </w:rPr>
        <w:t>Stephens v. Howard</w:t>
      </w:r>
      <w:r>
        <w:t>, 221 Ga. App. 469 (1996).</w:t>
      </w:r>
    </w:p>
  </w:endnote>
  <w:endnote w:id="4">
    <w:p w14:paraId="2B0604CB" w14:textId="77777777" w:rsidR="003D5AF4" w:rsidRPr="00FD04E1" w:rsidRDefault="003D5AF4" w:rsidP="003D5AF4">
      <w:pPr>
        <w:pStyle w:val="EndnoteText"/>
      </w:pPr>
      <w:r>
        <w:rPr>
          <w:rStyle w:val="EndnoteReference"/>
        </w:rPr>
        <w:endnoteRef/>
      </w:r>
      <w:r>
        <w:t xml:space="preserve"> </w:t>
      </w:r>
      <w:r>
        <w:rPr>
          <w:i/>
        </w:rPr>
        <w:t>Chase v. State</w:t>
      </w:r>
      <w:r>
        <w:t>, 337 Ga. App. 449 (2016).</w:t>
      </w:r>
    </w:p>
  </w:endnote>
  <w:endnote w:id="5">
    <w:p w14:paraId="5F7D11DB" w14:textId="7D2D65EA" w:rsidR="002B5F37" w:rsidRPr="002B5F37" w:rsidRDefault="002B5F37">
      <w:pPr>
        <w:pStyle w:val="EndnoteText"/>
      </w:pPr>
      <w:r>
        <w:rPr>
          <w:rStyle w:val="EndnoteReference"/>
        </w:rPr>
        <w:endnoteRef/>
      </w:r>
      <w:r>
        <w:t xml:space="preserve"> </w:t>
      </w:r>
      <w:proofErr w:type="spellStart"/>
      <w:r>
        <w:rPr>
          <w:i/>
        </w:rPr>
        <w:t>Legree</w:t>
      </w:r>
      <w:proofErr w:type="spellEnd"/>
      <w:r>
        <w:rPr>
          <w:i/>
        </w:rPr>
        <w:t xml:space="preserve"> v. State</w:t>
      </w:r>
      <w:r>
        <w:t>, 344 Ga. App. 793, 795-796 (2018).</w:t>
      </w:r>
    </w:p>
  </w:endnote>
  <w:endnote w:id="6">
    <w:p w14:paraId="2455973C" w14:textId="77777777" w:rsidR="008973E2" w:rsidRDefault="008973E2" w:rsidP="008973E2">
      <w:pPr>
        <w:pStyle w:val="EndnoteText"/>
      </w:pPr>
      <w:r>
        <w:rPr>
          <w:rStyle w:val="EndnoteReference"/>
        </w:rPr>
        <w:endnoteRef/>
      </w:r>
      <w:r>
        <w:t xml:space="preserve"> </w:t>
      </w:r>
      <w:r w:rsidRPr="007F4A9B">
        <w:t xml:space="preserve">See, Melendez-Diaz v. Massachusetts, 557 U.S. 305, 129 S. Ct. 2527, 2538, 2540, 174 L. Ed. 2d 314 (2009) (“Documents kept in the regular course of business may ordinarily be admitted at trial despite their hearsay status. See Fed. Rule </w:t>
      </w:r>
      <w:proofErr w:type="spellStart"/>
      <w:r w:rsidRPr="007F4A9B">
        <w:t>Evid</w:t>
      </w:r>
      <w:proofErr w:type="spellEnd"/>
      <w:r w:rsidRPr="007F4A9B">
        <w:t>. 803(6). But that is not the case if the regularly conducted business activity is the production of evidence for use at trial.” … “Whether or not they qualify as business or official records, the analysts' statements here—prepared specifically for use at petitioner's trial—were testimony against petitioner, and the analysts were subject to confrontation under the Sixth Amendment.”).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C22C" w14:textId="77777777" w:rsidR="00E57DDA" w:rsidRDefault="00E57DDA" w:rsidP="008B2CBA">
    <w:pPr>
      <w:pStyle w:val="Footer"/>
      <w:rPr>
        <w:b w:val="0"/>
        <w:szCs w:val="20"/>
      </w:rPr>
    </w:pPr>
  </w:p>
  <w:p w14:paraId="71630C7D" w14:textId="5616CF48" w:rsidR="00E57DDA" w:rsidRDefault="001E2F1D" w:rsidP="008B2CBA">
    <w:pPr>
      <w:pStyle w:val="Footer"/>
      <w:rPr>
        <w:szCs w:val="20"/>
      </w:rPr>
    </w:pPr>
    <w:r>
      <w:rPr>
        <w:szCs w:val="20"/>
      </w:rPr>
      <w:t>SCRIPT</w:t>
    </w:r>
    <w:r w:rsidR="00E57DDA">
      <w:rPr>
        <w:szCs w:val="20"/>
      </w:rPr>
      <w:t xml:space="preserve"> FOR </w:t>
    </w:r>
    <w:r w:rsidR="004627C4">
      <w:rPr>
        <w:szCs w:val="20"/>
      </w:rPr>
      <w:t>EVIDENCE ESSENTIALS-BUSINESS RECORDS</w:t>
    </w:r>
    <w:r w:rsidR="00346D9E">
      <w:rPr>
        <w:szCs w:val="20"/>
      </w:rPr>
      <w:t xml:space="preserve"> </w:t>
    </w:r>
  </w:p>
  <w:p w14:paraId="7FE31702" w14:textId="37ECE2D9" w:rsidR="00E57DDA" w:rsidRDefault="00346D9E" w:rsidP="008B2CBA">
    <w:pPr>
      <w:pStyle w:val="Footer"/>
      <w:rPr>
        <w:b w:val="0"/>
        <w:szCs w:val="20"/>
      </w:rPr>
    </w:pPr>
    <w:r>
      <w:rPr>
        <w:szCs w:val="20"/>
      </w:rPr>
      <w:t>7</w:t>
    </w:r>
    <w:r w:rsidR="00E57DDA">
      <w:rPr>
        <w:szCs w:val="20"/>
      </w:rPr>
      <w:t>/</w:t>
    </w:r>
    <w:r>
      <w:rPr>
        <w:szCs w:val="20"/>
      </w:rPr>
      <w:t>3</w:t>
    </w:r>
    <w:r w:rsidR="00E57DDA">
      <w:rPr>
        <w:szCs w:val="20"/>
      </w:rPr>
      <w:t>/2019</w:t>
    </w:r>
  </w:p>
  <w:p w14:paraId="45F6B4D1" w14:textId="2C43703B" w:rsidR="00E57DDA" w:rsidRDefault="00E57DDA" w:rsidP="00367E4A">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sidR="00B93E22">
      <w:rPr>
        <w:noProof/>
        <w:szCs w:val="20"/>
      </w:rPr>
      <w:t>3</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sidR="00B93E22">
      <w:rPr>
        <w:noProof/>
        <w:szCs w:val="20"/>
      </w:rPr>
      <w:t>11</w:t>
    </w:r>
    <w:r>
      <w:rPr>
        <w:b w:val="0"/>
        <w:szCs w:val="20"/>
      </w:rPr>
      <w:fldChar w:fldCharType="end"/>
    </w:r>
  </w:p>
  <w:p w14:paraId="248390F7" w14:textId="77777777" w:rsidR="00E57DDA" w:rsidRDefault="00E5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D825" w14:textId="77777777" w:rsidR="00C9653B" w:rsidRDefault="00C9653B" w:rsidP="00E57DDA">
      <w:pPr>
        <w:spacing w:after="0" w:line="240" w:lineRule="auto"/>
      </w:pPr>
      <w:r>
        <w:separator/>
      </w:r>
    </w:p>
  </w:footnote>
  <w:footnote w:type="continuationSeparator" w:id="0">
    <w:p w14:paraId="337DA9BE" w14:textId="77777777" w:rsidR="00C9653B" w:rsidRDefault="00C9653B" w:rsidP="00E5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DD80F322"/>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B19EF"/>
    <w:multiLevelType w:val="multilevel"/>
    <w:tmpl w:val="30E0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09F35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7" w15:restartNumberingAfterBreak="0">
    <w:nsid w:val="4D9350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FD56DF"/>
    <w:multiLevelType w:val="hybridMultilevel"/>
    <w:tmpl w:val="018A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A1CAD"/>
    <w:multiLevelType w:val="multilevel"/>
    <w:tmpl w:val="58B6A87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440" w:hanging="360"/>
      </w:pPr>
    </w:lvl>
    <w:lvl w:ilvl="3">
      <w:start w:val="1"/>
      <w:numFmt w:val="decimal"/>
      <w:lvlText w:val="(%4)"/>
      <w:lvlJc w:val="left"/>
      <w:pPr>
        <w:ind w:left="171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D774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2B2F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5"/>
  </w:num>
  <w:num w:numId="5">
    <w:abstractNumId w:val="6"/>
  </w:num>
  <w:num w:numId="6">
    <w:abstractNumId w:val="6"/>
  </w:num>
  <w:num w:numId="7">
    <w:abstractNumId w:val="6"/>
  </w:num>
  <w:num w:numId="8">
    <w:abstractNumId w:val="6"/>
  </w:num>
  <w:num w:numId="9">
    <w:abstractNumId w:val="0"/>
  </w:num>
  <w:num w:numId="10">
    <w:abstractNumId w:val="1"/>
  </w:num>
  <w:num w:numId="11">
    <w:abstractNumId w:val="3"/>
  </w:num>
  <w:num w:numId="12">
    <w:abstractNumId w:val="5"/>
  </w:num>
  <w:num w:numId="13">
    <w:abstractNumId w:val="6"/>
  </w:num>
  <w:num w:numId="14">
    <w:abstractNumId w:val="6"/>
  </w:num>
  <w:num w:numId="15">
    <w:abstractNumId w:val="2"/>
  </w:num>
  <w:num w:numId="16">
    <w:abstractNumId w:val="1"/>
  </w:num>
  <w:num w:numId="17">
    <w:abstractNumId w:val="1"/>
  </w:num>
  <w:num w:numId="18">
    <w:abstractNumId w:val="1"/>
  </w:num>
  <w:num w:numId="19">
    <w:abstractNumId w:val="1"/>
  </w:num>
  <w:num w:numId="20">
    <w:abstractNumId w:val="9"/>
  </w:num>
  <w:num w:numId="21">
    <w:abstractNumId w:val="10"/>
  </w:num>
  <w:num w:numId="22">
    <w:abstractNumId w:val="11"/>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1"/>
  </w:num>
  <w:num w:numId="30">
    <w:abstractNumId w:val="1"/>
  </w:num>
  <w:num w:numId="31">
    <w:abstractNumId w:val="1"/>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DA"/>
    <w:rsid w:val="00024E0A"/>
    <w:rsid w:val="00045BD4"/>
    <w:rsid w:val="00082F4B"/>
    <w:rsid w:val="000B428E"/>
    <w:rsid w:val="000C2BBB"/>
    <w:rsid w:val="000C367D"/>
    <w:rsid w:val="001336A7"/>
    <w:rsid w:val="00147F5A"/>
    <w:rsid w:val="001757E4"/>
    <w:rsid w:val="001A2170"/>
    <w:rsid w:val="001A41D7"/>
    <w:rsid w:val="001E2F1D"/>
    <w:rsid w:val="001F61EB"/>
    <w:rsid w:val="00223D17"/>
    <w:rsid w:val="00231243"/>
    <w:rsid w:val="002404C3"/>
    <w:rsid w:val="00241844"/>
    <w:rsid w:val="00251645"/>
    <w:rsid w:val="002958AA"/>
    <w:rsid w:val="002B1AF7"/>
    <w:rsid w:val="002B4E05"/>
    <w:rsid w:val="002B5F37"/>
    <w:rsid w:val="002F3CC9"/>
    <w:rsid w:val="00302AD4"/>
    <w:rsid w:val="00346D9E"/>
    <w:rsid w:val="003A36C9"/>
    <w:rsid w:val="003B2D6C"/>
    <w:rsid w:val="003C0226"/>
    <w:rsid w:val="003D5AF4"/>
    <w:rsid w:val="003E1CBE"/>
    <w:rsid w:val="00402886"/>
    <w:rsid w:val="00402AA7"/>
    <w:rsid w:val="00460A2A"/>
    <w:rsid w:val="004627C4"/>
    <w:rsid w:val="0046791C"/>
    <w:rsid w:val="004E0C05"/>
    <w:rsid w:val="004E6F9A"/>
    <w:rsid w:val="00513E98"/>
    <w:rsid w:val="00527FF4"/>
    <w:rsid w:val="005637AD"/>
    <w:rsid w:val="00585ACF"/>
    <w:rsid w:val="005B4FB4"/>
    <w:rsid w:val="005B72DF"/>
    <w:rsid w:val="005C045D"/>
    <w:rsid w:val="005D2609"/>
    <w:rsid w:val="005D57AF"/>
    <w:rsid w:val="00603B24"/>
    <w:rsid w:val="00605BF2"/>
    <w:rsid w:val="00635901"/>
    <w:rsid w:val="0064023B"/>
    <w:rsid w:val="00653FAD"/>
    <w:rsid w:val="006833E1"/>
    <w:rsid w:val="006B0107"/>
    <w:rsid w:val="006B61DB"/>
    <w:rsid w:val="006B6476"/>
    <w:rsid w:val="006C4671"/>
    <w:rsid w:val="006E4C53"/>
    <w:rsid w:val="006F452E"/>
    <w:rsid w:val="007036BE"/>
    <w:rsid w:val="00710DF1"/>
    <w:rsid w:val="007304F0"/>
    <w:rsid w:val="007669ED"/>
    <w:rsid w:val="007756DA"/>
    <w:rsid w:val="00785C5A"/>
    <w:rsid w:val="00795150"/>
    <w:rsid w:val="007F4A9B"/>
    <w:rsid w:val="008239A5"/>
    <w:rsid w:val="008551FC"/>
    <w:rsid w:val="008973E2"/>
    <w:rsid w:val="008B3A8C"/>
    <w:rsid w:val="008D1754"/>
    <w:rsid w:val="008D3529"/>
    <w:rsid w:val="008E5576"/>
    <w:rsid w:val="00906E00"/>
    <w:rsid w:val="009072E0"/>
    <w:rsid w:val="00907663"/>
    <w:rsid w:val="00920081"/>
    <w:rsid w:val="00925ADE"/>
    <w:rsid w:val="00953C9A"/>
    <w:rsid w:val="009578B7"/>
    <w:rsid w:val="00993028"/>
    <w:rsid w:val="00995D31"/>
    <w:rsid w:val="009C0069"/>
    <w:rsid w:val="009D4EA0"/>
    <w:rsid w:val="009E1BE5"/>
    <w:rsid w:val="009E4B5F"/>
    <w:rsid w:val="009E5EC7"/>
    <w:rsid w:val="009E6BAA"/>
    <w:rsid w:val="009F7BF5"/>
    <w:rsid w:val="00A034E6"/>
    <w:rsid w:val="00A13E99"/>
    <w:rsid w:val="00A770EE"/>
    <w:rsid w:val="00A87855"/>
    <w:rsid w:val="00B81FD9"/>
    <w:rsid w:val="00B93E22"/>
    <w:rsid w:val="00BC5962"/>
    <w:rsid w:val="00BC64B8"/>
    <w:rsid w:val="00BD054B"/>
    <w:rsid w:val="00BE5A7B"/>
    <w:rsid w:val="00BF3FC4"/>
    <w:rsid w:val="00C077FE"/>
    <w:rsid w:val="00C276B9"/>
    <w:rsid w:val="00C354EB"/>
    <w:rsid w:val="00C45932"/>
    <w:rsid w:val="00C47579"/>
    <w:rsid w:val="00C6002C"/>
    <w:rsid w:val="00C9598D"/>
    <w:rsid w:val="00C9653B"/>
    <w:rsid w:val="00CA0FB9"/>
    <w:rsid w:val="00CC1D7B"/>
    <w:rsid w:val="00CD4F49"/>
    <w:rsid w:val="00D14159"/>
    <w:rsid w:val="00D2287D"/>
    <w:rsid w:val="00D729F6"/>
    <w:rsid w:val="00D87D71"/>
    <w:rsid w:val="00DC5CA5"/>
    <w:rsid w:val="00DD4ABE"/>
    <w:rsid w:val="00DD4F54"/>
    <w:rsid w:val="00DE2733"/>
    <w:rsid w:val="00E14F08"/>
    <w:rsid w:val="00E33741"/>
    <w:rsid w:val="00E37225"/>
    <w:rsid w:val="00E467CF"/>
    <w:rsid w:val="00E51163"/>
    <w:rsid w:val="00E57DDA"/>
    <w:rsid w:val="00EB2917"/>
    <w:rsid w:val="00EB29F1"/>
    <w:rsid w:val="00EB586B"/>
    <w:rsid w:val="00EC1EC3"/>
    <w:rsid w:val="00EF620B"/>
    <w:rsid w:val="00F11A4B"/>
    <w:rsid w:val="00F23056"/>
    <w:rsid w:val="00F27487"/>
    <w:rsid w:val="00F42A78"/>
    <w:rsid w:val="00F60D01"/>
    <w:rsid w:val="00FA0929"/>
    <w:rsid w:val="00FB3802"/>
    <w:rsid w:val="00FC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FF9F"/>
  <w15:chartTrackingRefBased/>
  <w15:docId w15:val="{A1E98733-2D4D-4A57-839C-75A83A8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1">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DDA"/>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3D5AF4"/>
    <w:pPr>
      <w:keepLines/>
      <w:framePr w:wrap="notBeside" w:hAnchor="text"/>
      <w:spacing w:after="120" w:line="240" w:lineRule="auto"/>
      <w:ind w:left="360" w:hanging="360"/>
    </w:pPr>
    <w:rPr>
      <w:sz w:val="28"/>
    </w:rPr>
  </w:style>
  <w:style w:type="character" w:customStyle="1" w:styleId="EndnoteTextChar">
    <w:name w:val="Endnote Text Char"/>
    <w:basedOn w:val="DefaultParagraphFont"/>
    <w:link w:val="EndnoteText"/>
    <w:uiPriority w:val="99"/>
    <w:rsid w:val="003D5AF4"/>
    <w:rPr>
      <w:sz w:val="28"/>
    </w:rPr>
  </w:style>
  <w:style w:type="character" w:styleId="EndnoteReference">
    <w:name w:val="endnote reference"/>
    <w:basedOn w:val="DefaultParagraphFont"/>
    <w:uiPriority w:val="14"/>
    <w:qFormat/>
    <w:rsid w:val="00F11A4B"/>
    <w:rPr>
      <w:rFonts w:ascii="Times New Roman" w:hAnsi="Times New Roman"/>
      <w:b/>
      <w:color w:val="auto"/>
      <w:sz w:val="28"/>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8551FC"/>
    <w:pPr>
      <w:numPr>
        <w:numId w:val="10"/>
      </w:numPr>
      <w:tabs>
        <w:tab w:val="left" w:pos="43"/>
        <w:tab w:val="left" w:pos="432"/>
      </w:tabs>
    </w:pPr>
    <w:rPr>
      <w:sz w:val="28"/>
    </w:rPr>
  </w:style>
  <w:style w:type="character" w:customStyle="1" w:styleId="ListParaNoIndentChar">
    <w:name w:val="List Para No Indent Char"/>
    <w:basedOn w:val="ListParagraphChar"/>
    <w:link w:val="ListParaNoIndent"/>
    <w:uiPriority w:val="2"/>
    <w:rsid w:val="008551FC"/>
    <w:rPr>
      <w:sz w:val="28"/>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80978">
      <w:bodyDiv w:val="1"/>
      <w:marLeft w:val="0"/>
      <w:marRight w:val="0"/>
      <w:marTop w:val="0"/>
      <w:marBottom w:val="0"/>
      <w:divBdr>
        <w:top w:val="none" w:sz="0" w:space="0" w:color="auto"/>
        <w:left w:val="none" w:sz="0" w:space="0" w:color="auto"/>
        <w:bottom w:val="none" w:sz="0" w:space="0" w:color="auto"/>
        <w:right w:val="none" w:sz="0" w:space="0" w:color="auto"/>
      </w:divBdr>
      <w:divsChild>
        <w:div w:id="1658920396">
          <w:marLeft w:val="0"/>
          <w:marRight w:val="0"/>
          <w:marTop w:val="0"/>
          <w:marBottom w:val="0"/>
          <w:divBdr>
            <w:top w:val="none" w:sz="0" w:space="0" w:color="auto"/>
            <w:left w:val="none" w:sz="0" w:space="0" w:color="auto"/>
            <w:bottom w:val="none" w:sz="0" w:space="0" w:color="auto"/>
            <w:right w:val="none" w:sz="0" w:space="0" w:color="auto"/>
          </w:divBdr>
        </w:div>
        <w:div w:id="132526618">
          <w:marLeft w:val="0"/>
          <w:marRight w:val="0"/>
          <w:marTop w:val="240"/>
          <w:marBottom w:val="0"/>
          <w:divBdr>
            <w:top w:val="none" w:sz="0" w:space="0" w:color="auto"/>
            <w:left w:val="none" w:sz="0" w:space="0" w:color="auto"/>
            <w:bottom w:val="none" w:sz="0" w:space="0" w:color="auto"/>
            <w:right w:val="none" w:sz="0" w:space="0" w:color="auto"/>
          </w:divBdr>
          <w:divsChild>
            <w:div w:id="523518761">
              <w:marLeft w:val="0"/>
              <w:marRight w:val="0"/>
              <w:marTop w:val="0"/>
              <w:marBottom w:val="0"/>
              <w:divBdr>
                <w:top w:val="none" w:sz="0" w:space="0" w:color="auto"/>
                <w:left w:val="none" w:sz="0" w:space="0" w:color="auto"/>
                <w:bottom w:val="none" w:sz="0" w:space="0" w:color="auto"/>
                <w:right w:val="none" w:sz="0" w:space="0" w:color="auto"/>
              </w:divBdr>
            </w:div>
          </w:divsChild>
        </w:div>
        <w:div w:id="1282760913">
          <w:marLeft w:val="0"/>
          <w:marRight w:val="0"/>
          <w:marTop w:val="240"/>
          <w:marBottom w:val="0"/>
          <w:divBdr>
            <w:top w:val="none" w:sz="0" w:space="0" w:color="auto"/>
            <w:left w:val="none" w:sz="0" w:space="0" w:color="auto"/>
            <w:bottom w:val="none" w:sz="0" w:space="0" w:color="auto"/>
            <w:right w:val="none" w:sz="0" w:space="0" w:color="auto"/>
          </w:divBdr>
          <w:divsChild>
            <w:div w:id="3748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7851-4F32-49FA-B497-FF19F183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11</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Judge Padgett</cp:lastModifiedBy>
  <cp:revision>6</cp:revision>
  <dcterms:created xsi:type="dcterms:W3CDTF">2019-07-02T20:00:00Z</dcterms:created>
  <dcterms:modified xsi:type="dcterms:W3CDTF">2019-07-03T01:29:00Z</dcterms:modified>
</cp:coreProperties>
</file>