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E81A" w14:textId="562888C0" w:rsidR="00555CD3" w:rsidRPr="00555CD3" w:rsidRDefault="00EB0240" w:rsidP="009B42AB">
      <w:pPr>
        <w:keepNext/>
        <w:spacing w:after="200" w:line="480" w:lineRule="auto"/>
        <w:jc w:val="center"/>
        <w:rPr>
          <w:rFonts w:eastAsia="Times New Roman" w:cs="Times New Roman"/>
          <w:b/>
          <w:sz w:val="28"/>
          <w:szCs w:val="28"/>
        </w:rPr>
      </w:pPr>
      <w:bookmarkStart w:id="0" w:name="_Hlk111203407"/>
      <w:r>
        <w:rPr>
          <w:rFonts w:eastAsia="Times New Roman" w:cs="Times New Roman"/>
          <w:b/>
          <w:sz w:val="28"/>
          <w:szCs w:val="28"/>
        </w:rPr>
        <w:t>FLASH EPISODE-REFUSALS IN DUI CASES</w:t>
      </w:r>
      <w:r w:rsidR="003842AF">
        <w:rPr>
          <w:rFonts w:eastAsia="Times New Roman" w:cs="Times New Roman"/>
          <w:b/>
          <w:sz w:val="28"/>
          <w:szCs w:val="28"/>
        </w:rPr>
        <w:t xml:space="preserve"> - </w:t>
      </w:r>
      <w:r w:rsidR="00555CD3" w:rsidRPr="00555CD3">
        <w:rPr>
          <w:rFonts w:eastAsia="Times New Roman" w:cs="Times New Roman"/>
          <w:b/>
          <w:sz w:val="28"/>
          <w:szCs w:val="28"/>
        </w:rPr>
        <w:t>EPISODE NOTES</w:t>
      </w:r>
    </w:p>
    <w:p w14:paraId="722B0C17" w14:textId="51106F24" w:rsidR="00F0409E" w:rsidRDefault="00F0409E" w:rsidP="00555CD3">
      <w:pPr>
        <w:spacing w:after="200" w:line="480" w:lineRule="auto"/>
        <w:rPr>
          <w:rFonts w:eastAsia="Times New Roman" w:cs="Times New Roman"/>
          <w:bCs/>
          <w:sz w:val="28"/>
          <w:szCs w:val="28"/>
        </w:rPr>
      </w:pPr>
      <w:r>
        <w:rPr>
          <w:rFonts w:eastAsia="Times New Roman" w:cs="Times New Roman"/>
          <w:bCs/>
          <w:sz w:val="28"/>
          <w:szCs w:val="28"/>
        </w:rPr>
        <w:t>Hello everyone and welcome back to the Good Judge-Ment Podcast.  I am Wade Padgett</w:t>
      </w:r>
    </w:p>
    <w:p w14:paraId="7E849D87" w14:textId="433AF810" w:rsidR="00F0409E" w:rsidRDefault="00F0409E" w:rsidP="00555CD3">
      <w:pPr>
        <w:spacing w:after="200" w:line="480" w:lineRule="auto"/>
        <w:rPr>
          <w:rFonts w:eastAsia="Times New Roman" w:cs="Times New Roman"/>
          <w:bCs/>
          <w:i/>
          <w:iCs/>
          <w:sz w:val="28"/>
          <w:szCs w:val="28"/>
        </w:rPr>
      </w:pPr>
      <w:r>
        <w:rPr>
          <w:rFonts w:eastAsia="Times New Roman" w:cs="Times New Roman"/>
          <w:bCs/>
          <w:i/>
          <w:iCs/>
          <w:sz w:val="28"/>
          <w:szCs w:val="28"/>
        </w:rPr>
        <w:t xml:space="preserve">And I am Tain Kell. </w:t>
      </w:r>
    </w:p>
    <w:p w14:paraId="3BCAC289" w14:textId="0BC5D1DA" w:rsidR="008E5841" w:rsidRDefault="00EB0240" w:rsidP="00555CD3">
      <w:pPr>
        <w:spacing w:after="200" w:line="480" w:lineRule="auto"/>
        <w:rPr>
          <w:rFonts w:eastAsia="Times New Roman" w:cs="Times New Roman"/>
          <w:bCs/>
          <w:sz w:val="28"/>
          <w:szCs w:val="28"/>
        </w:rPr>
      </w:pPr>
      <w:r>
        <w:rPr>
          <w:rFonts w:eastAsia="Times New Roman" w:cs="Times New Roman"/>
          <w:bCs/>
          <w:sz w:val="28"/>
          <w:szCs w:val="28"/>
        </w:rPr>
        <w:t>We recently had a lengthy series published that dealt with many aspects of a typical DUI case.</w:t>
      </w:r>
    </w:p>
    <w:p w14:paraId="3F1047B3" w14:textId="7A5265DA" w:rsidR="00EB0240" w:rsidRDefault="00EB0240" w:rsidP="00555CD3">
      <w:pPr>
        <w:spacing w:after="200" w:line="480" w:lineRule="auto"/>
        <w:rPr>
          <w:rFonts w:eastAsia="Times New Roman" w:cs="Times New Roman"/>
          <w:bCs/>
          <w:i/>
          <w:iCs/>
          <w:sz w:val="28"/>
          <w:szCs w:val="28"/>
        </w:rPr>
      </w:pPr>
      <w:r>
        <w:rPr>
          <w:rFonts w:eastAsia="Times New Roman" w:cs="Times New Roman"/>
          <w:bCs/>
          <w:i/>
          <w:iCs/>
          <w:sz w:val="28"/>
          <w:szCs w:val="28"/>
        </w:rPr>
        <w:t>Shout out to a real FOP, Judge Ben Studdard, for his help with that series.</w:t>
      </w:r>
    </w:p>
    <w:p w14:paraId="461A507C" w14:textId="08BD996D" w:rsidR="00EB0240" w:rsidRDefault="00EB0240" w:rsidP="00555CD3">
      <w:pPr>
        <w:spacing w:after="200" w:line="480" w:lineRule="auto"/>
        <w:rPr>
          <w:rFonts w:eastAsia="Times New Roman" w:cs="Times New Roman"/>
          <w:bCs/>
          <w:sz w:val="28"/>
          <w:szCs w:val="28"/>
        </w:rPr>
      </w:pPr>
      <w:r>
        <w:rPr>
          <w:rFonts w:eastAsia="Times New Roman" w:cs="Times New Roman"/>
          <w:bCs/>
          <w:sz w:val="28"/>
          <w:szCs w:val="28"/>
        </w:rPr>
        <w:t>Since the date that series published, I have come across some cases dealing with refusals of chemical testing that I felt we needed to share with you as soon as possible to ensure there was no confusion or misunderstandings.</w:t>
      </w:r>
    </w:p>
    <w:p w14:paraId="6CB3995A" w14:textId="3D3C9AA9" w:rsidR="00B61209" w:rsidRDefault="00B61209" w:rsidP="00555CD3">
      <w:pPr>
        <w:spacing w:after="200" w:line="480" w:lineRule="auto"/>
        <w:rPr>
          <w:rFonts w:eastAsia="Times New Roman" w:cs="Times New Roman"/>
          <w:bCs/>
          <w:i/>
          <w:iCs/>
          <w:sz w:val="28"/>
          <w:szCs w:val="28"/>
        </w:rPr>
      </w:pPr>
      <w:r>
        <w:rPr>
          <w:rFonts w:eastAsia="Times New Roman" w:cs="Times New Roman"/>
          <w:bCs/>
          <w:i/>
          <w:iCs/>
          <w:sz w:val="28"/>
          <w:szCs w:val="28"/>
        </w:rPr>
        <w:t>This episode is going to be shorter and more direct than our usual episodes because we want to get this information to our listener(s) as soon as possible.</w:t>
      </w:r>
    </w:p>
    <w:p w14:paraId="590611F8" w14:textId="4A45F262" w:rsidR="002E39FC" w:rsidRPr="002E39FC" w:rsidRDefault="002E39FC" w:rsidP="00555CD3">
      <w:pPr>
        <w:spacing w:after="200" w:line="480" w:lineRule="auto"/>
        <w:rPr>
          <w:rFonts w:eastAsia="Times New Roman" w:cs="Times New Roman"/>
          <w:bCs/>
          <w:sz w:val="28"/>
          <w:szCs w:val="28"/>
        </w:rPr>
      </w:pPr>
      <w:r>
        <w:rPr>
          <w:rFonts w:eastAsia="Times New Roman" w:cs="Times New Roman"/>
          <w:bCs/>
          <w:sz w:val="28"/>
          <w:szCs w:val="28"/>
        </w:rPr>
        <w:t xml:space="preserve">You will hear us discuss the case of </w:t>
      </w:r>
      <w:r>
        <w:rPr>
          <w:rFonts w:eastAsia="Times New Roman" w:cs="Times New Roman"/>
          <w:bCs/>
          <w:i/>
          <w:iCs/>
          <w:sz w:val="28"/>
          <w:szCs w:val="28"/>
        </w:rPr>
        <w:t>State v. Randall</w:t>
      </w:r>
      <w:r>
        <w:rPr>
          <w:rFonts w:eastAsia="Times New Roman" w:cs="Times New Roman"/>
          <w:bCs/>
          <w:sz w:val="28"/>
          <w:szCs w:val="28"/>
        </w:rPr>
        <w:t xml:space="preserve"> which was decided on October 25, 2022.  We are recording this episode on October 27, 2022.  Nothing but the best for our listeners. </w:t>
      </w:r>
    </w:p>
    <w:p w14:paraId="55651AEA" w14:textId="33D31B32" w:rsidR="00EB0240" w:rsidRPr="00EB0240" w:rsidRDefault="00000000" w:rsidP="00555CD3">
      <w:pPr>
        <w:spacing w:after="200" w:line="480" w:lineRule="auto"/>
        <w:rPr>
          <w:rFonts w:eastAsia="Times New Roman" w:cs="Times New Roman"/>
          <w:bCs/>
          <w:sz w:val="28"/>
          <w:szCs w:val="28"/>
        </w:rPr>
      </w:pPr>
      <w:r>
        <w:rPr>
          <w:rFonts w:eastAsia="Times New Roman" w:cs="Times New Roman"/>
          <w:b/>
          <w:sz w:val="28"/>
          <w:szCs w:val="28"/>
        </w:rPr>
        <w:pict w14:anchorId="321D9468">
          <v:rect id="_x0000_i1029" style="width:0;height:1.5pt" o:hralign="center" o:hrstd="t" o:hr="t" fillcolor="#a0a0a0" stroked="f"/>
        </w:pict>
      </w:r>
    </w:p>
    <w:p w14:paraId="37FABE3D" w14:textId="0E41A340" w:rsidR="00566D78" w:rsidRDefault="00EB0240" w:rsidP="009B42AB">
      <w:pPr>
        <w:keepNext/>
        <w:spacing w:after="200" w:line="480" w:lineRule="auto"/>
        <w:jc w:val="center"/>
        <w:rPr>
          <w:rFonts w:eastAsia="Times New Roman" w:cs="Times New Roman"/>
          <w:b/>
          <w:sz w:val="28"/>
          <w:szCs w:val="28"/>
        </w:rPr>
      </w:pPr>
      <w:r>
        <w:rPr>
          <w:rFonts w:eastAsia="Times New Roman" w:cs="Times New Roman"/>
          <w:b/>
          <w:sz w:val="28"/>
          <w:szCs w:val="28"/>
        </w:rPr>
        <w:lastRenderedPageBreak/>
        <w:t>REFUSAL OF CHEMICAL TESTING IN GENERAL</w:t>
      </w:r>
    </w:p>
    <w:p w14:paraId="072094E9" w14:textId="565A5068" w:rsidR="00B61209" w:rsidRPr="00B61209" w:rsidRDefault="00B61209" w:rsidP="00661E14">
      <w:pPr>
        <w:pStyle w:val="ListParagraph"/>
        <w:numPr>
          <w:ilvl w:val="0"/>
          <w:numId w:val="5"/>
        </w:numPr>
        <w:spacing w:after="200" w:line="480" w:lineRule="auto"/>
        <w:rPr>
          <w:rFonts w:eastAsia="Times New Roman" w:cs="Times New Roman"/>
          <w:b/>
          <w:sz w:val="28"/>
          <w:szCs w:val="28"/>
        </w:rPr>
      </w:pPr>
      <w:r>
        <w:rPr>
          <w:rFonts w:eastAsia="Times New Roman" w:cs="Times New Roman"/>
          <w:bCs/>
          <w:sz w:val="28"/>
          <w:szCs w:val="28"/>
        </w:rPr>
        <w:t xml:space="preserve">You may recall that we discussed the appellate decisions in </w:t>
      </w:r>
      <w:r>
        <w:rPr>
          <w:rFonts w:eastAsia="Times New Roman" w:cs="Times New Roman"/>
          <w:bCs/>
          <w:i/>
          <w:iCs/>
          <w:sz w:val="28"/>
          <w:szCs w:val="28"/>
        </w:rPr>
        <w:t>Elliott</w:t>
      </w:r>
      <w:r w:rsidR="009320E9">
        <w:rPr>
          <w:rStyle w:val="EndnoteReference"/>
          <w:rFonts w:eastAsia="Times New Roman" w:cs="Times New Roman"/>
          <w:bCs/>
          <w:i/>
          <w:iCs/>
          <w:szCs w:val="28"/>
        </w:rPr>
        <w:endnoteReference w:id="1"/>
      </w:r>
      <w:r>
        <w:rPr>
          <w:rFonts w:eastAsia="Times New Roman" w:cs="Times New Roman"/>
          <w:bCs/>
          <w:sz w:val="28"/>
          <w:szCs w:val="28"/>
        </w:rPr>
        <w:t xml:space="preserve"> and </w:t>
      </w:r>
      <w:r>
        <w:rPr>
          <w:rFonts w:eastAsia="Times New Roman" w:cs="Times New Roman"/>
          <w:bCs/>
          <w:i/>
          <w:iCs/>
          <w:sz w:val="28"/>
          <w:szCs w:val="28"/>
        </w:rPr>
        <w:t>Olevik</w:t>
      </w:r>
      <w:r w:rsidR="009320E9">
        <w:rPr>
          <w:rStyle w:val="EndnoteReference"/>
          <w:rFonts w:eastAsia="Times New Roman" w:cs="Times New Roman"/>
          <w:bCs/>
          <w:i/>
          <w:iCs/>
          <w:szCs w:val="28"/>
        </w:rPr>
        <w:endnoteReference w:id="2"/>
      </w:r>
      <w:r>
        <w:rPr>
          <w:rFonts w:eastAsia="Times New Roman" w:cs="Times New Roman"/>
          <w:bCs/>
          <w:sz w:val="28"/>
          <w:szCs w:val="28"/>
        </w:rPr>
        <w:t xml:space="preserve"> which really changed the landscape of DUI cases</w:t>
      </w:r>
    </w:p>
    <w:p w14:paraId="5B79A400" w14:textId="5345C9D0" w:rsidR="00B61209" w:rsidRPr="00045838" w:rsidRDefault="00B61209" w:rsidP="00661E14">
      <w:pPr>
        <w:pStyle w:val="ListParagraph"/>
        <w:numPr>
          <w:ilvl w:val="1"/>
          <w:numId w:val="5"/>
        </w:numPr>
        <w:spacing w:after="200" w:line="480" w:lineRule="auto"/>
        <w:rPr>
          <w:rFonts w:eastAsia="Times New Roman" w:cs="Times New Roman"/>
          <w:b/>
          <w:sz w:val="28"/>
          <w:szCs w:val="28"/>
        </w:rPr>
      </w:pPr>
      <w:r>
        <w:rPr>
          <w:rFonts w:eastAsia="Times New Roman" w:cs="Times New Roman"/>
          <w:bCs/>
          <w:sz w:val="28"/>
          <w:szCs w:val="28"/>
        </w:rPr>
        <w:t xml:space="preserve">In summary, those cases held that </w:t>
      </w:r>
      <w:r w:rsidR="00045838">
        <w:rPr>
          <w:rFonts w:eastAsia="Times New Roman" w:cs="Times New Roman"/>
          <w:bCs/>
          <w:sz w:val="28"/>
          <w:szCs w:val="28"/>
        </w:rPr>
        <w:t>the existing Implied Consent Warnings (ICW) were flawed, rendering testing (or refusals of testing) that followed those warnings inadmissible</w:t>
      </w:r>
    </w:p>
    <w:p w14:paraId="375C10B2" w14:textId="2E494F59" w:rsidR="00045838" w:rsidRPr="00045838" w:rsidRDefault="00045838" w:rsidP="00661E14">
      <w:pPr>
        <w:pStyle w:val="ListParagraph"/>
        <w:numPr>
          <w:ilvl w:val="2"/>
          <w:numId w:val="5"/>
        </w:numPr>
        <w:spacing w:after="200" w:line="480" w:lineRule="auto"/>
        <w:rPr>
          <w:rFonts w:eastAsia="Times New Roman" w:cs="Times New Roman"/>
          <w:b/>
          <w:sz w:val="28"/>
          <w:szCs w:val="28"/>
        </w:rPr>
      </w:pPr>
      <w:r>
        <w:rPr>
          <w:rFonts w:eastAsia="Times New Roman" w:cs="Times New Roman"/>
          <w:bCs/>
          <w:sz w:val="28"/>
          <w:szCs w:val="28"/>
        </w:rPr>
        <w:t>The ICW’s were changed by the legislature</w:t>
      </w:r>
    </w:p>
    <w:p w14:paraId="4D75DD2E" w14:textId="3FD8C3E8" w:rsidR="00045838" w:rsidRPr="00D51877" w:rsidRDefault="00045838" w:rsidP="00661E14">
      <w:pPr>
        <w:pStyle w:val="ListParagraph"/>
        <w:numPr>
          <w:ilvl w:val="0"/>
          <w:numId w:val="5"/>
        </w:numPr>
        <w:spacing w:after="200" w:line="480" w:lineRule="auto"/>
        <w:rPr>
          <w:rFonts w:eastAsia="Times New Roman" w:cs="Times New Roman"/>
          <w:b/>
          <w:sz w:val="28"/>
          <w:szCs w:val="28"/>
        </w:rPr>
      </w:pPr>
      <w:r>
        <w:rPr>
          <w:rFonts w:eastAsia="Times New Roman" w:cs="Times New Roman"/>
          <w:bCs/>
          <w:sz w:val="28"/>
          <w:szCs w:val="28"/>
        </w:rPr>
        <w:t xml:space="preserve">However, </w:t>
      </w:r>
      <w:r w:rsidR="00D3286B">
        <w:rPr>
          <w:rFonts w:eastAsia="Times New Roman" w:cs="Times New Roman"/>
          <w:bCs/>
          <w:sz w:val="28"/>
          <w:szCs w:val="28"/>
        </w:rPr>
        <w:t xml:space="preserve">the main takeaway from those cases was that if a defendant refused a breath test or, later, a urine test (the </w:t>
      </w:r>
      <w:r w:rsidR="00D3286B">
        <w:rPr>
          <w:rFonts w:eastAsia="Times New Roman" w:cs="Times New Roman"/>
          <w:bCs/>
          <w:i/>
          <w:iCs/>
          <w:sz w:val="28"/>
          <w:szCs w:val="28"/>
        </w:rPr>
        <w:t>Awad</w:t>
      </w:r>
      <w:r w:rsidR="00D3286B">
        <w:rPr>
          <w:rFonts w:eastAsia="Times New Roman" w:cs="Times New Roman"/>
          <w:bCs/>
          <w:sz w:val="28"/>
          <w:szCs w:val="28"/>
        </w:rPr>
        <w:t xml:space="preserve"> case), that refusal would not be admissible.</w:t>
      </w:r>
    </w:p>
    <w:p w14:paraId="79E073EB" w14:textId="78707D54" w:rsidR="00D51877" w:rsidRPr="002E39FC" w:rsidRDefault="00D51877" w:rsidP="00661E14">
      <w:pPr>
        <w:pStyle w:val="ListParagraph"/>
        <w:numPr>
          <w:ilvl w:val="1"/>
          <w:numId w:val="5"/>
        </w:numPr>
        <w:spacing w:after="200" w:line="480" w:lineRule="auto"/>
        <w:rPr>
          <w:rFonts w:eastAsia="Times New Roman" w:cs="Times New Roman"/>
          <w:b/>
          <w:sz w:val="28"/>
          <w:szCs w:val="28"/>
        </w:rPr>
      </w:pPr>
      <w:r>
        <w:rPr>
          <w:rFonts w:eastAsia="Times New Roman" w:cs="Times New Roman"/>
          <w:bCs/>
          <w:sz w:val="28"/>
          <w:szCs w:val="28"/>
        </w:rPr>
        <w:t>We hope we made that clear in the DUI series</w:t>
      </w:r>
    </w:p>
    <w:p w14:paraId="0E84F6A8" w14:textId="440A1256" w:rsidR="002E39FC" w:rsidRPr="00D51877" w:rsidRDefault="002E39FC" w:rsidP="002E39FC">
      <w:pPr>
        <w:pStyle w:val="ListParagraph"/>
        <w:numPr>
          <w:ilvl w:val="0"/>
          <w:numId w:val="5"/>
        </w:numPr>
        <w:spacing w:after="200" w:line="480" w:lineRule="auto"/>
        <w:rPr>
          <w:rFonts w:eastAsia="Times New Roman" w:cs="Times New Roman"/>
          <w:b/>
          <w:sz w:val="28"/>
          <w:szCs w:val="28"/>
        </w:rPr>
      </w:pPr>
      <w:r>
        <w:rPr>
          <w:rFonts w:eastAsia="Times New Roman" w:cs="Times New Roman"/>
          <w:bCs/>
          <w:sz w:val="28"/>
          <w:szCs w:val="28"/>
        </w:rPr>
        <w:t>Today, we need to discuss and bring to your attention later cases that followed those landmark cases in the arena of DUI law.</w:t>
      </w:r>
    </w:p>
    <w:p w14:paraId="397EADB7" w14:textId="42653616" w:rsidR="00D51877" w:rsidRPr="00D51877" w:rsidRDefault="00000000" w:rsidP="00661E14">
      <w:pPr>
        <w:spacing w:after="200" w:line="480" w:lineRule="auto"/>
        <w:rPr>
          <w:rFonts w:eastAsia="Times New Roman" w:cs="Times New Roman"/>
          <w:b/>
          <w:sz w:val="28"/>
          <w:szCs w:val="28"/>
        </w:rPr>
      </w:pPr>
      <w:r>
        <w:rPr>
          <w:rFonts w:eastAsia="Times New Roman" w:cs="Times New Roman"/>
          <w:b/>
          <w:sz w:val="28"/>
          <w:szCs w:val="28"/>
        </w:rPr>
        <w:pict w14:anchorId="0B9731FC">
          <v:rect id="_x0000_i1030" style="width:0;height:1.5pt" o:hralign="center" o:hrstd="t" o:hr="t" fillcolor="#a0a0a0" stroked="f"/>
        </w:pict>
      </w:r>
    </w:p>
    <w:p w14:paraId="1D8818B4" w14:textId="4B7BB9C1" w:rsidR="00661E14" w:rsidRPr="00661E14" w:rsidRDefault="00661E14" w:rsidP="00661E14">
      <w:pPr>
        <w:keepNext/>
        <w:spacing w:after="200" w:line="480" w:lineRule="auto"/>
        <w:jc w:val="center"/>
        <w:rPr>
          <w:rFonts w:eastAsia="Times New Roman" w:cs="Times New Roman"/>
          <w:b/>
          <w:sz w:val="28"/>
          <w:szCs w:val="28"/>
        </w:rPr>
      </w:pPr>
      <w:r>
        <w:rPr>
          <w:rFonts w:eastAsia="Times New Roman" w:cs="Times New Roman"/>
          <w:b/>
          <w:sz w:val="28"/>
          <w:szCs w:val="28"/>
        </w:rPr>
        <w:t>WADE’S TRIAL</w:t>
      </w:r>
    </w:p>
    <w:p w14:paraId="0288455C" w14:textId="2ED074AB" w:rsidR="00D3286B" w:rsidRPr="00D51877" w:rsidRDefault="00D51877" w:rsidP="00661E14">
      <w:pPr>
        <w:pStyle w:val="ListParagraph"/>
        <w:numPr>
          <w:ilvl w:val="0"/>
          <w:numId w:val="5"/>
        </w:numPr>
        <w:spacing w:after="200" w:line="480" w:lineRule="auto"/>
        <w:rPr>
          <w:rFonts w:eastAsia="Times New Roman" w:cs="Times New Roman"/>
          <w:b/>
          <w:sz w:val="28"/>
          <w:szCs w:val="28"/>
        </w:rPr>
      </w:pPr>
      <w:r>
        <w:rPr>
          <w:rFonts w:eastAsia="Times New Roman" w:cs="Times New Roman"/>
          <w:bCs/>
          <w:sz w:val="28"/>
          <w:szCs w:val="28"/>
        </w:rPr>
        <w:t xml:space="preserve">Fast forward a few weeks </w:t>
      </w:r>
      <w:r w:rsidR="002E39FC">
        <w:rPr>
          <w:rFonts w:eastAsia="Times New Roman" w:cs="Times New Roman"/>
          <w:bCs/>
          <w:sz w:val="28"/>
          <w:szCs w:val="28"/>
        </w:rPr>
        <w:t xml:space="preserve">from when we published the DUI series </w:t>
      </w:r>
      <w:r>
        <w:rPr>
          <w:rFonts w:eastAsia="Times New Roman" w:cs="Times New Roman"/>
          <w:bCs/>
          <w:sz w:val="28"/>
          <w:szCs w:val="28"/>
        </w:rPr>
        <w:t xml:space="preserve">and Wade has a </w:t>
      </w:r>
      <w:r w:rsidRPr="00D51877">
        <w:rPr>
          <w:rFonts w:eastAsia="Times New Roman" w:cs="Times New Roman"/>
          <w:bCs/>
          <w:i/>
          <w:iCs/>
          <w:sz w:val="28"/>
          <w:szCs w:val="28"/>
        </w:rPr>
        <w:t>pro se</w:t>
      </w:r>
      <w:r>
        <w:rPr>
          <w:rFonts w:eastAsia="Times New Roman" w:cs="Times New Roman"/>
          <w:bCs/>
          <w:sz w:val="28"/>
          <w:szCs w:val="28"/>
        </w:rPr>
        <w:t xml:space="preserve"> jury trial on a DUI case</w:t>
      </w:r>
    </w:p>
    <w:p w14:paraId="6F3413A7" w14:textId="6E9E59AE" w:rsidR="00D51877" w:rsidRPr="00D51877" w:rsidRDefault="00D51877" w:rsidP="00661E14">
      <w:pPr>
        <w:pStyle w:val="ListParagraph"/>
        <w:numPr>
          <w:ilvl w:val="1"/>
          <w:numId w:val="5"/>
        </w:numPr>
        <w:spacing w:after="200" w:line="480" w:lineRule="auto"/>
        <w:rPr>
          <w:rFonts w:eastAsia="Times New Roman" w:cs="Times New Roman"/>
          <w:b/>
          <w:sz w:val="28"/>
          <w:szCs w:val="28"/>
        </w:rPr>
      </w:pPr>
      <w:r>
        <w:rPr>
          <w:rFonts w:eastAsia="Times New Roman" w:cs="Times New Roman"/>
          <w:bCs/>
          <w:sz w:val="28"/>
          <w:szCs w:val="28"/>
        </w:rPr>
        <w:lastRenderedPageBreak/>
        <w:t>During opening statement, the prosecutor told the jury that the defendant refused the blood test</w:t>
      </w:r>
    </w:p>
    <w:p w14:paraId="4BE349B1" w14:textId="42B33DF9" w:rsidR="00D51877" w:rsidRPr="00D51877" w:rsidRDefault="00D51877" w:rsidP="00661E14">
      <w:pPr>
        <w:pStyle w:val="ListParagraph"/>
        <w:numPr>
          <w:ilvl w:val="1"/>
          <w:numId w:val="5"/>
        </w:numPr>
        <w:spacing w:after="200" w:line="480" w:lineRule="auto"/>
        <w:rPr>
          <w:rFonts w:eastAsia="Times New Roman" w:cs="Times New Roman"/>
          <w:b/>
          <w:sz w:val="28"/>
          <w:szCs w:val="28"/>
        </w:rPr>
      </w:pPr>
      <w:r>
        <w:rPr>
          <w:rFonts w:eastAsia="Times New Roman" w:cs="Times New Roman"/>
          <w:bCs/>
          <w:sz w:val="28"/>
          <w:szCs w:val="28"/>
        </w:rPr>
        <w:t xml:space="preserve">The </w:t>
      </w:r>
      <w:r w:rsidRPr="00D51877">
        <w:rPr>
          <w:rFonts w:eastAsia="Times New Roman" w:cs="Times New Roman"/>
          <w:bCs/>
          <w:i/>
          <w:iCs/>
          <w:sz w:val="28"/>
          <w:szCs w:val="28"/>
        </w:rPr>
        <w:t>pro se</w:t>
      </w:r>
      <w:r>
        <w:rPr>
          <w:rFonts w:eastAsia="Times New Roman" w:cs="Times New Roman"/>
          <w:bCs/>
          <w:sz w:val="28"/>
          <w:szCs w:val="28"/>
        </w:rPr>
        <w:t xml:space="preserve"> defendant did not blink so I began scurrying around, looking for my DUI law</w:t>
      </w:r>
      <w:r w:rsidR="00DE1E26">
        <w:rPr>
          <w:rFonts w:eastAsia="Times New Roman" w:cs="Times New Roman"/>
          <w:bCs/>
          <w:sz w:val="28"/>
          <w:szCs w:val="28"/>
        </w:rPr>
        <w:t xml:space="preserve"> – but without any objection being raised</w:t>
      </w:r>
    </w:p>
    <w:p w14:paraId="11CF306B" w14:textId="1EAB72A5" w:rsidR="00D51877" w:rsidRPr="00661E14" w:rsidRDefault="00D51877" w:rsidP="00661E14">
      <w:pPr>
        <w:pStyle w:val="ListParagraph"/>
        <w:numPr>
          <w:ilvl w:val="1"/>
          <w:numId w:val="5"/>
        </w:numPr>
        <w:spacing w:after="200" w:line="480" w:lineRule="auto"/>
        <w:rPr>
          <w:rFonts w:eastAsia="Times New Roman" w:cs="Times New Roman"/>
          <w:b/>
          <w:sz w:val="28"/>
          <w:szCs w:val="28"/>
        </w:rPr>
      </w:pPr>
      <w:r>
        <w:rPr>
          <w:rFonts w:eastAsia="Times New Roman" w:cs="Times New Roman"/>
          <w:bCs/>
          <w:sz w:val="28"/>
          <w:szCs w:val="28"/>
        </w:rPr>
        <w:t>Then the defendant gives his opening statement and essentially “testifies” that he did not take the tests because a lawyer once told him to never submit to testing because it is so unreliable….</w:t>
      </w:r>
    </w:p>
    <w:p w14:paraId="3259DB3D" w14:textId="2C1942AB" w:rsidR="00661E14" w:rsidRPr="00661E14" w:rsidRDefault="00661E14" w:rsidP="00DE1E26">
      <w:pPr>
        <w:pStyle w:val="ListParagraph"/>
        <w:numPr>
          <w:ilvl w:val="2"/>
          <w:numId w:val="5"/>
        </w:numPr>
        <w:spacing w:after="200" w:line="480" w:lineRule="auto"/>
        <w:rPr>
          <w:rFonts w:eastAsia="Times New Roman" w:cs="Times New Roman"/>
          <w:b/>
          <w:sz w:val="28"/>
          <w:szCs w:val="28"/>
        </w:rPr>
      </w:pPr>
      <w:r>
        <w:rPr>
          <w:rFonts w:eastAsia="Times New Roman" w:cs="Times New Roman"/>
          <w:bCs/>
          <w:sz w:val="28"/>
          <w:szCs w:val="28"/>
        </w:rPr>
        <w:t>I am having a slight coronary thinking reversible error is happening all around me</w:t>
      </w:r>
    </w:p>
    <w:p w14:paraId="601F5E4E" w14:textId="715D5B16" w:rsidR="00661E14" w:rsidRPr="00661E14" w:rsidRDefault="00661E14" w:rsidP="00661E14">
      <w:pPr>
        <w:pStyle w:val="ListParagraph"/>
        <w:numPr>
          <w:ilvl w:val="1"/>
          <w:numId w:val="5"/>
        </w:numPr>
        <w:spacing w:after="200" w:line="480" w:lineRule="auto"/>
        <w:rPr>
          <w:rFonts w:eastAsia="Times New Roman" w:cs="Times New Roman"/>
          <w:b/>
          <w:sz w:val="28"/>
          <w:szCs w:val="28"/>
        </w:rPr>
      </w:pPr>
      <w:r>
        <w:rPr>
          <w:rFonts w:eastAsia="Times New Roman" w:cs="Times New Roman"/>
          <w:bCs/>
          <w:sz w:val="28"/>
          <w:szCs w:val="28"/>
        </w:rPr>
        <w:t>We broke for lunch and I asked the parties, outside the presence of the jury, what was happening</w:t>
      </w:r>
      <w:r w:rsidR="00DE1E26">
        <w:rPr>
          <w:rFonts w:eastAsia="Times New Roman" w:cs="Times New Roman"/>
          <w:bCs/>
          <w:sz w:val="28"/>
          <w:szCs w:val="28"/>
        </w:rPr>
        <w:t>?</w:t>
      </w:r>
    </w:p>
    <w:p w14:paraId="4CB5CA8E" w14:textId="50E5A65B" w:rsidR="00661E14" w:rsidRPr="00AC4859" w:rsidRDefault="00661E14" w:rsidP="00661E14">
      <w:pPr>
        <w:pStyle w:val="ListParagraph"/>
        <w:numPr>
          <w:ilvl w:val="2"/>
          <w:numId w:val="5"/>
        </w:numPr>
        <w:spacing w:after="200" w:line="480" w:lineRule="auto"/>
        <w:rPr>
          <w:rFonts w:eastAsia="Times New Roman" w:cs="Times New Roman"/>
          <w:b/>
          <w:sz w:val="28"/>
          <w:szCs w:val="28"/>
        </w:rPr>
      </w:pPr>
      <w:r>
        <w:rPr>
          <w:rFonts w:eastAsia="Times New Roman" w:cs="Times New Roman"/>
          <w:bCs/>
          <w:sz w:val="28"/>
          <w:szCs w:val="28"/>
        </w:rPr>
        <w:t>That’s when I got an education I want to share with all of you today…</w:t>
      </w:r>
    </w:p>
    <w:p w14:paraId="152BBF36" w14:textId="4C0B4B30" w:rsidR="00AC4859" w:rsidRPr="00AC4859" w:rsidRDefault="00000000" w:rsidP="00AC4859">
      <w:pPr>
        <w:spacing w:after="200" w:line="480" w:lineRule="auto"/>
        <w:rPr>
          <w:rFonts w:eastAsia="Times New Roman" w:cs="Times New Roman"/>
          <w:b/>
          <w:sz w:val="28"/>
          <w:szCs w:val="28"/>
        </w:rPr>
      </w:pPr>
      <w:r>
        <w:rPr>
          <w:rFonts w:eastAsia="Times New Roman" w:cs="Times New Roman"/>
          <w:b/>
          <w:sz w:val="28"/>
          <w:szCs w:val="28"/>
        </w:rPr>
        <w:pict w14:anchorId="406DB6D1">
          <v:rect id="_x0000_i1031" style="width:0;height:1.5pt" o:hralign="center" o:hrstd="t" o:hr="t" fillcolor="#a0a0a0" stroked="f"/>
        </w:pict>
      </w:r>
    </w:p>
    <w:p w14:paraId="7D6722DE" w14:textId="111B901F" w:rsidR="00661E14" w:rsidRDefault="00661E14" w:rsidP="00862974">
      <w:pPr>
        <w:keepNext/>
        <w:spacing w:after="200" w:line="480" w:lineRule="auto"/>
        <w:jc w:val="center"/>
        <w:rPr>
          <w:rFonts w:eastAsia="Times New Roman" w:cs="Times New Roman"/>
          <w:b/>
          <w:sz w:val="28"/>
          <w:szCs w:val="28"/>
        </w:rPr>
      </w:pPr>
      <w:r>
        <w:rPr>
          <w:rFonts w:eastAsia="Times New Roman" w:cs="Times New Roman"/>
          <w:b/>
          <w:sz w:val="28"/>
          <w:szCs w:val="28"/>
        </w:rPr>
        <w:t>THE MORE RECENT DUI LAW RE: REFUSALS</w:t>
      </w:r>
    </w:p>
    <w:p w14:paraId="6974A1C4" w14:textId="537BA7A3" w:rsidR="00661E14" w:rsidRPr="00FB017E" w:rsidRDefault="00FB017E" w:rsidP="00661E14">
      <w:pPr>
        <w:pStyle w:val="ListParagraph"/>
        <w:numPr>
          <w:ilvl w:val="0"/>
          <w:numId w:val="5"/>
        </w:numPr>
        <w:spacing w:after="200" w:line="480" w:lineRule="auto"/>
        <w:rPr>
          <w:rFonts w:eastAsia="Times New Roman" w:cs="Times New Roman"/>
          <w:b/>
          <w:sz w:val="28"/>
          <w:szCs w:val="28"/>
        </w:rPr>
      </w:pPr>
      <w:r>
        <w:rPr>
          <w:rFonts w:eastAsia="Times New Roman" w:cs="Times New Roman"/>
          <w:bCs/>
          <w:sz w:val="28"/>
          <w:szCs w:val="28"/>
        </w:rPr>
        <w:t xml:space="preserve">In </w:t>
      </w:r>
      <w:r>
        <w:rPr>
          <w:rFonts w:eastAsia="Times New Roman" w:cs="Times New Roman"/>
          <w:bCs/>
          <w:i/>
          <w:iCs/>
          <w:sz w:val="28"/>
          <w:szCs w:val="28"/>
        </w:rPr>
        <w:t>Davis v. State</w:t>
      </w:r>
      <w:r>
        <w:rPr>
          <w:rFonts w:eastAsia="Times New Roman" w:cs="Times New Roman"/>
          <w:bCs/>
          <w:sz w:val="28"/>
          <w:szCs w:val="28"/>
        </w:rPr>
        <w:t>,</w:t>
      </w:r>
      <w:r>
        <w:rPr>
          <w:rStyle w:val="EndnoteReference"/>
          <w:rFonts w:eastAsia="Times New Roman" w:cs="Times New Roman"/>
          <w:bCs/>
          <w:szCs w:val="28"/>
        </w:rPr>
        <w:endnoteReference w:id="3"/>
      </w:r>
      <w:r>
        <w:rPr>
          <w:rFonts w:eastAsia="Times New Roman" w:cs="Times New Roman"/>
          <w:bCs/>
          <w:sz w:val="28"/>
          <w:szCs w:val="28"/>
        </w:rPr>
        <w:t xml:space="preserve"> the Court of Appeals followed up on the decisions of </w:t>
      </w:r>
      <w:r>
        <w:rPr>
          <w:rFonts w:eastAsia="Times New Roman" w:cs="Times New Roman"/>
          <w:bCs/>
          <w:i/>
          <w:iCs/>
          <w:sz w:val="28"/>
          <w:szCs w:val="28"/>
        </w:rPr>
        <w:t>Olevik</w:t>
      </w:r>
      <w:r>
        <w:rPr>
          <w:rFonts w:eastAsia="Times New Roman" w:cs="Times New Roman"/>
          <w:bCs/>
          <w:sz w:val="28"/>
          <w:szCs w:val="28"/>
        </w:rPr>
        <w:t xml:space="preserve"> and </w:t>
      </w:r>
      <w:r>
        <w:rPr>
          <w:rFonts w:eastAsia="Times New Roman" w:cs="Times New Roman"/>
          <w:bCs/>
          <w:i/>
          <w:iCs/>
          <w:sz w:val="28"/>
          <w:szCs w:val="28"/>
        </w:rPr>
        <w:t>Elliott</w:t>
      </w:r>
      <w:r>
        <w:rPr>
          <w:rFonts w:eastAsia="Times New Roman" w:cs="Times New Roman"/>
          <w:bCs/>
          <w:sz w:val="28"/>
          <w:szCs w:val="28"/>
        </w:rPr>
        <w:t xml:space="preserve"> and held that the special concurrence in </w:t>
      </w:r>
      <w:r>
        <w:rPr>
          <w:rFonts w:eastAsia="Times New Roman" w:cs="Times New Roman"/>
          <w:bCs/>
          <w:i/>
          <w:iCs/>
          <w:sz w:val="28"/>
          <w:szCs w:val="28"/>
        </w:rPr>
        <w:t>Elliott</w:t>
      </w:r>
      <w:r>
        <w:rPr>
          <w:rFonts w:eastAsia="Times New Roman" w:cs="Times New Roman"/>
          <w:bCs/>
          <w:sz w:val="28"/>
          <w:szCs w:val="28"/>
        </w:rPr>
        <w:t xml:space="preserve"> noted that those decisions were limited to breath tests and do not apply to blood tests.</w:t>
      </w:r>
      <w:r>
        <w:rPr>
          <w:rStyle w:val="EndnoteReference"/>
          <w:rFonts w:eastAsia="Times New Roman" w:cs="Times New Roman"/>
          <w:bCs/>
          <w:szCs w:val="28"/>
        </w:rPr>
        <w:endnoteReference w:id="4"/>
      </w:r>
    </w:p>
    <w:p w14:paraId="49DAFE6B" w14:textId="20B1E9C5" w:rsidR="00FB017E" w:rsidRPr="00C533AB" w:rsidRDefault="00FB017E" w:rsidP="00FB017E">
      <w:pPr>
        <w:pStyle w:val="ListParagraph"/>
        <w:numPr>
          <w:ilvl w:val="1"/>
          <w:numId w:val="5"/>
        </w:numPr>
        <w:spacing w:after="200" w:line="480" w:lineRule="auto"/>
        <w:rPr>
          <w:rFonts w:eastAsia="Times New Roman" w:cs="Times New Roman"/>
          <w:b/>
          <w:sz w:val="28"/>
          <w:szCs w:val="28"/>
        </w:rPr>
      </w:pPr>
      <w:r>
        <w:rPr>
          <w:rFonts w:eastAsia="Times New Roman" w:cs="Times New Roman"/>
          <w:bCs/>
          <w:sz w:val="28"/>
          <w:szCs w:val="28"/>
        </w:rPr>
        <w:lastRenderedPageBreak/>
        <w:t xml:space="preserve">The </w:t>
      </w:r>
      <w:r>
        <w:rPr>
          <w:rFonts w:eastAsia="Times New Roman" w:cs="Times New Roman"/>
          <w:bCs/>
          <w:i/>
          <w:iCs/>
          <w:sz w:val="28"/>
          <w:szCs w:val="28"/>
        </w:rPr>
        <w:t>Davis</w:t>
      </w:r>
      <w:r>
        <w:rPr>
          <w:rFonts w:eastAsia="Times New Roman" w:cs="Times New Roman"/>
          <w:bCs/>
          <w:sz w:val="28"/>
          <w:szCs w:val="28"/>
        </w:rPr>
        <w:t xml:space="preserve"> Court noted that after </w:t>
      </w:r>
      <w:r w:rsidR="00C533AB">
        <w:rPr>
          <w:rFonts w:eastAsia="Times New Roman" w:cs="Times New Roman"/>
          <w:bCs/>
          <w:i/>
          <w:iCs/>
          <w:sz w:val="28"/>
          <w:szCs w:val="28"/>
        </w:rPr>
        <w:t>Olevik</w:t>
      </w:r>
      <w:r w:rsidR="00C533AB">
        <w:rPr>
          <w:rFonts w:eastAsia="Times New Roman" w:cs="Times New Roman"/>
          <w:bCs/>
          <w:sz w:val="28"/>
          <w:szCs w:val="28"/>
        </w:rPr>
        <w:t xml:space="preserve"> and </w:t>
      </w:r>
      <w:r w:rsidR="00C533AB">
        <w:rPr>
          <w:rFonts w:eastAsia="Times New Roman" w:cs="Times New Roman"/>
          <w:bCs/>
          <w:i/>
          <w:iCs/>
          <w:sz w:val="28"/>
          <w:szCs w:val="28"/>
        </w:rPr>
        <w:t>Elliott</w:t>
      </w:r>
      <w:r w:rsidR="00C533AB">
        <w:rPr>
          <w:rFonts w:eastAsia="Times New Roman" w:cs="Times New Roman"/>
          <w:bCs/>
          <w:sz w:val="28"/>
          <w:szCs w:val="28"/>
        </w:rPr>
        <w:t xml:space="preserve">, they had held </w:t>
      </w:r>
      <w:r w:rsidR="00DE1E26">
        <w:rPr>
          <w:rFonts w:eastAsia="Times New Roman" w:cs="Times New Roman"/>
          <w:bCs/>
          <w:sz w:val="28"/>
          <w:szCs w:val="28"/>
        </w:rPr>
        <w:t xml:space="preserve">in other decisions </w:t>
      </w:r>
      <w:r w:rsidR="00C533AB">
        <w:rPr>
          <w:rFonts w:eastAsia="Times New Roman" w:cs="Times New Roman"/>
          <w:bCs/>
          <w:sz w:val="28"/>
          <w:szCs w:val="28"/>
        </w:rPr>
        <w:t xml:space="preserve">that </w:t>
      </w:r>
      <w:r w:rsidR="00DE1E26">
        <w:rPr>
          <w:rFonts w:eastAsia="Times New Roman" w:cs="Times New Roman"/>
          <w:bCs/>
          <w:i/>
          <w:iCs/>
          <w:sz w:val="28"/>
          <w:szCs w:val="28"/>
        </w:rPr>
        <w:t>Olevik</w:t>
      </w:r>
      <w:r w:rsidR="00DE1E26">
        <w:rPr>
          <w:rFonts w:eastAsia="Times New Roman" w:cs="Times New Roman"/>
          <w:bCs/>
          <w:sz w:val="28"/>
          <w:szCs w:val="28"/>
        </w:rPr>
        <w:t xml:space="preserve"> and </w:t>
      </w:r>
      <w:r w:rsidR="00DE1E26">
        <w:rPr>
          <w:rFonts w:eastAsia="Times New Roman" w:cs="Times New Roman"/>
          <w:bCs/>
          <w:i/>
          <w:iCs/>
          <w:sz w:val="28"/>
          <w:szCs w:val="28"/>
        </w:rPr>
        <w:t>Elliott</w:t>
      </w:r>
      <w:r w:rsidR="00C533AB">
        <w:rPr>
          <w:rFonts w:eastAsia="Times New Roman" w:cs="Times New Roman"/>
          <w:bCs/>
          <w:sz w:val="28"/>
          <w:szCs w:val="28"/>
        </w:rPr>
        <w:t xml:space="preserve"> did not prohibit the introduction of evidence that a defendant refused a </w:t>
      </w:r>
      <w:r w:rsidR="00C533AB" w:rsidRPr="00AC4859">
        <w:rPr>
          <w:rFonts w:eastAsia="Times New Roman" w:cs="Times New Roman"/>
          <w:b/>
          <w:i/>
          <w:iCs/>
          <w:sz w:val="28"/>
          <w:szCs w:val="28"/>
        </w:rPr>
        <w:t>blood</w:t>
      </w:r>
      <w:r w:rsidR="00C533AB">
        <w:rPr>
          <w:rFonts w:eastAsia="Times New Roman" w:cs="Times New Roman"/>
          <w:bCs/>
          <w:sz w:val="28"/>
          <w:szCs w:val="28"/>
        </w:rPr>
        <w:t xml:space="preserve"> test.</w:t>
      </w:r>
      <w:r w:rsidR="00C533AB">
        <w:rPr>
          <w:rStyle w:val="EndnoteReference"/>
          <w:rFonts w:eastAsia="Times New Roman" w:cs="Times New Roman"/>
          <w:bCs/>
          <w:szCs w:val="28"/>
        </w:rPr>
        <w:endnoteReference w:id="5"/>
      </w:r>
    </w:p>
    <w:p w14:paraId="443AF6B9" w14:textId="024E1DD9" w:rsidR="00C533AB" w:rsidRPr="0061384A" w:rsidRDefault="00C533AB" w:rsidP="00C533AB">
      <w:pPr>
        <w:pStyle w:val="ListParagraph"/>
        <w:numPr>
          <w:ilvl w:val="2"/>
          <w:numId w:val="5"/>
        </w:numPr>
        <w:spacing w:after="200" w:line="480" w:lineRule="auto"/>
        <w:rPr>
          <w:rFonts w:eastAsia="Times New Roman" w:cs="Times New Roman"/>
          <w:b/>
          <w:sz w:val="28"/>
          <w:szCs w:val="28"/>
        </w:rPr>
      </w:pPr>
      <w:r>
        <w:rPr>
          <w:rFonts w:eastAsia="Times New Roman" w:cs="Times New Roman"/>
          <w:bCs/>
          <w:sz w:val="28"/>
          <w:szCs w:val="28"/>
        </w:rPr>
        <w:t xml:space="preserve">You may recall that, during the DUI series, we noted that the Ga. Supreme Court had recently held in </w:t>
      </w:r>
      <w:r>
        <w:rPr>
          <w:rFonts w:eastAsia="Times New Roman" w:cs="Times New Roman"/>
          <w:bCs/>
          <w:i/>
          <w:iCs/>
          <w:sz w:val="28"/>
          <w:szCs w:val="28"/>
        </w:rPr>
        <w:t>Awad v. State</w:t>
      </w:r>
      <w:r>
        <w:rPr>
          <w:rFonts w:eastAsia="Times New Roman" w:cs="Times New Roman"/>
          <w:bCs/>
          <w:sz w:val="28"/>
          <w:szCs w:val="28"/>
        </w:rPr>
        <w:t>,</w:t>
      </w:r>
      <w:r w:rsidR="00137D38">
        <w:rPr>
          <w:rStyle w:val="EndnoteReference"/>
          <w:rFonts w:eastAsia="Times New Roman" w:cs="Times New Roman"/>
          <w:bCs/>
          <w:szCs w:val="28"/>
        </w:rPr>
        <w:endnoteReference w:id="6"/>
      </w:r>
      <w:r w:rsidR="00137D38">
        <w:rPr>
          <w:rFonts w:eastAsia="Times New Roman" w:cs="Times New Roman"/>
          <w:bCs/>
          <w:sz w:val="28"/>
          <w:szCs w:val="28"/>
        </w:rPr>
        <w:t xml:space="preserve"> had held that refusal of a </w:t>
      </w:r>
      <w:r w:rsidR="00137D38" w:rsidRPr="00AC4859">
        <w:rPr>
          <w:rFonts w:eastAsia="Times New Roman" w:cs="Times New Roman"/>
          <w:b/>
          <w:i/>
          <w:iCs/>
          <w:sz w:val="28"/>
          <w:szCs w:val="28"/>
        </w:rPr>
        <w:t>urine</w:t>
      </w:r>
      <w:r w:rsidR="00137D38">
        <w:rPr>
          <w:rFonts w:eastAsia="Times New Roman" w:cs="Times New Roman"/>
          <w:bCs/>
          <w:sz w:val="28"/>
          <w:szCs w:val="28"/>
        </w:rPr>
        <w:t xml:space="preserve"> test was also inadmissible because it violated the Georgia Constitution’s provisions relating to self-incrimination.</w:t>
      </w:r>
    </w:p>
    <w:p w14:paraId="09DBC26F" w14:textId="169C1479" w:rsidR="0061384A" w:rsidRPr="0061384A" w:rsidRDefault="00000000" w:rsidP="0061384A">
      <w:pPr>
        <w:spacing w:after="200" w:line="480" w:lineRule="auto"/>
        <w:rPr>
          <w:rFonts w:eastAsia="Times New Roman" w:cs="Times New Roman"/>
          <w:b/>
          <w:sz w:val="28"/>
          <w:szCs w:val="28"/>
        </w:rPr>
      </w:pPr>
      <w:r>
        <w:rPr>
          <w:rFonts w:eastAsia="Times New Roman" w:cs="Times New Roman"/>
          <w:b/>
          <w:sz w:val="28"/>
          <w:szCs w:val="28"/>
        </w:rPr>
        <w:pict w14:anchorId="11E84497">
          <v:rect id="_x0000_i1032" style="width:0;height:1.5pt" o:hralign="center" o:hrstd="t" o:hr="t" fillcolor="#a0a0a0" stroked="f"/>
        </w:pict>
      </w:r>
    </w:p>
    <w:p w14:paraId="4B71614D" w14:textId="495CA5B6" w:rsidR="0061384A" w:rsidRPr="0061384A" w:rsidRDefault="0061384A" w:rsidP="00862974">
      <w:pPr>
        <w:keepNext/>
        <w:spacing w:after="200" w:line="480" w:lineRule="auto"/>
        <w:jc w:val="center"/>
        <w:rPr>
          <w:rFonts w:eastAsia="Times New Roman" w:cs="Times New Roman"/>
          <w:b/>
          <w:sz w:val="28"/>
          <w:szCs w:val="28"/>
        </w:rPr>
      </w:pPr>
      <w:r>
        <w:rPr>
          <w:rFonts w:eastAsia="Times New Roman" w:cs="Times New Roman"/>
          <w:b/>
          <w:sz w:val="28"/>
          <w:szCs w:val="28"/>
        </w:rPr>
        <w:t>UNDERSTANDING THE DIFFERENCE</w:t>
      </w:r>
    </w:p>
    <w:p w14:paraId="255281C8" w14:textId="5D4C193F" w:rsidR="00137D38" w:rsidRPr="00AC4859" w:rsidRDefault="00AC4859" w:rsidP="00AC4859">
      <w:pPr>
        <w:pStyle w:val="ListParagraph"/>
        <w:numPr>
          <w:ilvl w:val="0"/>
          <w:numId w:val="5"/>
        </w:numPr>
        <w:spacing w:after="200" w:line="480" w:lineRule="auto"/>
        <w:rPr>
          <w:rFonts w:eastAsia="Times New Roman" w:cs="Times New Roman"/>
          <w:b/>
          <w:sz w:val="28"/>
          <w:szCs w:val="28"/>
        </w:rPr>
      </w:pPr>
      <w:r>
        <w:rPr>
          <w:rFonts w:eastAsia="Times New Roman" w:cs="Times New Roman"/>
          <w:bCs/>
          <w:sz w:val="28"/>
          <w:szCs w:val="28"/>
        </w:rPr>
        <w:t xml:space="preserve">The decisions in </w:t>
      </w:r>
      <w:r>
        <w:rPr>
          <w:rFonts w:eastAsia="Times New Roman" w:cs="Times New Roman"/>
          <w:bCs/>
          <w:i/>
          <w:iCs/>
          <w:sz w:val="28"/>
          <w:szCs w:val="28"/>
        </w:rPr>
        <w:t>Elliott</w:t>
      </w:r>
      <w:r>
        <w:rPr>
          <w:rFonts w:eastAsia="Times New Roman" w:cs="Times New Roman"/>
          <w:bCs/>
          <w:sz w:val="28"/>
          <w:szCs w:val="28"/>
        </w:rPr>
        <w:t xml:space="preserve"> and </w:t>
      </w:r>
      <w:r>
        <w:rPr>
          <w:rFonts w:eastAsia="Times New Roman" w:cs="Times New Roman"/>
          <w:bCs/>
          <w:i/>
          <w:iCs/>
          <w:sz w:val="28"/>
          <w:szCs w:val="28"/>
        </w:rPr>
        <w:t>Olevik</w:t>
      </w:r>
      <w:r>
        <w:rPr>
          <w:rFonts w:eastAsia="Times New Roman" w:cs="Times New Roman"/>
          <w:bCs/>
          <w:sz w:val="28"/>
          <w:szCs w:val="28"/>
        </w:rPr>
        <w:t xml:space="preserve"> are lengthy and worthy of your review if you have a few hours to kill</w:t>
      </w:r>
    </w:p>
    <w:p w14:paraId="5270B828" w14:textId="7DF99745" w:rsidR="00AC4859" w:rsidRPr="00AC4859" w:rsidRDefault="00AC4859" w:rsidP="00AC4859">
      <w:pPr>
        <w:pStyle w:val="ListParagraph"/>
        <w:numPr>
          <w:ilvl w:val="1"/>
          <w:numId w:val="5"/>
        </w:numPr>
        <w:spacing w:after="200" w:line="480" w:lineRule="auto"/>
        <w:rPr>
          <w:rFonts w:eastAsia="Times New Roman" w:cs="Times New Roman"/>
          <w:b/>
          <w:sz w:val="28"/>
          <w:szCs w:val="28"/>
        </w:rPr>
      </w:pPr>
      <w:r>
        <w:rPr>
          <w:rFonts w:eastAsia="Times New Roman" w:cs="Times New Roman"/>
          <w:bCs/>
          <w:sz w:val="28"/>
          <w:szCs w:val="28"/>
        </w:rPr>
        <w:t>Seriously though, they are very thoughtful and lengthy decisions</w:t>
      </w:r>
    </w:p>
    <w:p w14:paraId="6B2D253B" w14:textId="7AE469F4" w:rsidR="00AC4859" w:rsidRPr="00AC4859" w:rsidRDefault="00AC4859" w:rsidP="00AC4859">
      <w:pPr>
        <w:pStyle w:val="ListParagraph"/>
        <w:numPr>
          <w:ilvl w:val="0"/>
          <w:numId w:val="5"/>
        </w:numPr>
        <w:spacing w:after="200" w:line="480" w:lineRule="auto"/>
        <w:rPr>
          <w:rFonts w:eastAsia="Times New Roman" w:cs="Times New Roman"/>
          <w:b/>
          <w:sz w:val="28"/>
          <w:szCs w:val="28"/>
        </w:rPr>
      </w:pPr>
      <w:r>
        <w:rPr>
          <w:rFonts w:eastAsia="Times New Roman" w:cs="Times New Roman"/>
          <w:bCs/>
          <w:sz w:val="28"/>
          <w:szCs w:val="28"/>
        </w:rPr>
        <w:t>To understand why refusal of a blood test might be admissible</w:t>
      </w:r>
      <w:r w:rsidR="00DE1E26">
        <w:rPr>
          <w:rFonts w:eastAsia="Times New Roman" w:cs="Times New Roman"/>
          <w:bCs/>
          <w:sz w:val="28"/>
          <w:szCs w:val="28"/>
        </w:rPr>
        <w:t>,</w:t>
      </w:r>
      <w:r>
        <w:rPr>
          <w:rFonts w:eastAsia="Times New Roman" w:cs="Times New Roman"/>
          <w:bCs/>
          <w:sz w:val="28"/>
          <w:szCs w:val="28"/>
        </w:rPr>
        <w:t xml:space="preserve"> while refusal of a breath test or urine test might be inadmissible under Georgia’s </w:t>
      </w:r>
      <w:r w:rsidR="00DE1E26">
        <w:rPr>
          <w:rFonts w:eastAsia="Times New Roman" w:cs="Times New Roman"/>
          <w:bCs/>
          <w:sz w:val="28"/>
          <w:szCs w:val="28"/>
        </w:rPr>
        <w:t>C</w:t>
      </w:r>
      <w:r>
        <w:rPr>
          <w:rFonts w:eastAsia="Times New Roman" w:cs="Times New Roman"/>
          <w:bCs/>
          <w:sz w:val="28"/>
          <w:szCs w:val="28"/>
        </w:rPr>
        <w:t>onstitution</w:t>
      </w:r>
      <w:r w:rsidR="00DE1E26">
        <w:rPr>
          <w:rFonts w:eastAsia="Times New Roman" w:cs="Times New Roman"/>
          <w:bCs/>
          <w:sz w:val="28"/>
          <w:szCs w:val="28"/>
        </w:rPr>
        <w:t xml:space="preserve">, </w:t>
      </w:r>
      <w:r>
        <w:rPr>
          <w:rFonts w:eastAsia="Times New Roman" w:cs="Times New Roman"/>
          <w:bCs/>
          <w:sz w:val="28"/>
          <w:szCs w:val="28"/>
        </w:rPr>
        <w:t>requires a little understanding of the history of decisions relating to Georgia’s constitutional prohibition against self-incrimination</w:t>
      </w:r>
    </w:p>
    <w:p w14:paraId="35360B32" w14:textId="62D95E4D" w:rsidR="00AC4859" w:rsidRPr="00AC4859" w:rsidRDefault="00AC4859" w:rsidP="00AC4859">
      <w:pPr>
        <w:pStyle w:val="ListParagraph"/>
        <w:numPr>
          <w:ilvl w:val="1"/>
          <w:numId w:val="5"/>
        </w:numPr>
        <w:spacing w:after="200" w:line="480" w:lineRule="auto"/>
        <w:rPr>
          <w:rFonts w:eastAsia="Times New Roman" w:cs="Times New Roman"/>
          <w:b/>
          <w:sz w:val="28"/>
          <w:szCs w:val="28"/>
        </w:rPr>
      </w:pPr>
      <w:r>
        <w:rPr>
          <w:rFonts w:eastAsia="Times New Roman" w:cs="Times New Roman"/>
          <w:bCs/>
          <w:sz w:val="28"/>
          <w:szCs w:val="28"/>
        </w:rPr>
        <w:t xml:space="preserve">Easier still, to understand the difference may only require a citation to one sentence from </w:t>
      </w:r>
      <w:r>
        <w:rPr>
          <w:rFonts w:eastAsia="Times New Roman" w:cs="Times New Roman"/>
          <w:bCs/>
          <w:i/>
          <w:iCs/>
          <w:sz w:val="28"/>
          <w:szCs w:val="28"/>
        </w:rPr>
        <w:t>Olevik</w:t>
      </w:r>
      <w:r>
        <w:rPr>
          <w:rFonts w:eastAsia="Times New Roman" w:cs="Times New Roman"/>
          <w:bCs/>
          <w:sz w:val="28"/>
          <w:szCs w:val="28"/>
        </w:rPr>
        <w:t>:</w:t>
      </w:r>
    </w:p>
    <w:p w14:paraId="48038A30" w14:textId="7CCA2199" w:rsidR="00AC4859" w:rsidRDefault="0061384A" w:rsidP="00AC4859">
      <w:pPr>
        <w:pStyle w:val="ListParagraph"/>
        <w:numPr>
          <w:ilvl w:val="2"/>
          <w:numId w:val="5"/>
        </w:numPr>
        <w:spacing w:after="200" w:line="480" w:lineRule="auto"/>
        <w:rPr>
          <w:rFonts w:eastAsia="Times New Roman" w:cs="Times New Roman"/>
          <w:bCs/>
          <w:sz w:val="28"/>
          <w:szCs w:val="28"/>
        </w:rPr>
      </w:pPr>
      <w:r w:rsidRPr="0061384A">
        <w:rPr>
          <w:rFonts w:eastAsia="Times New Roman" w:cs="Times New Roman"/>
          <w:bCs/>
          <w:sz w:val="28"/>
          <w:szCs w:val="28"/>
        </w:rPr>
        <w:lastRenderedPageBreak/>
        <w:t>“Paragraph XVI prohibits compelling a suspect to perform an act that itself generates incriminating evidence; it does not prohibit compelling a suspect to be present so that another person may perform an act generating such evidence.”</w:t>
      </w:r>
      <w:r>
        <w:rPr>
          <w:rStyle w:val="EndnoteReference"/>
          <w:rFonts w:eastAsia="Times New Roman" w:cs="Times New Roman"/>
          <w:bCs/>
          <w:szCs w:val="28"/>
        </w:rPr>
        <w:endnoteReference w:id="7"/>
      </w:r>
    </w:p>
    <w:p w14:paraId="7177DAE6" w14:textId="0A0F71F5" w:rsidR="0061384A" w:rsidRDefault="0061384A" w:rsidP="0061384A">
      <w:pPr>
        <w:pStyle w:val="ListParagraph"/>
        <w:numPr>
          <w:ilvl w:val="1"/>
          <w:numId w:val="5"/>
        </w:numPr>
        <w:spacing w:after="200" w:line="480" w:lineRule="auto"/>
        <w:rPr>
          <w:rFonts w:eastAsia="Times New Roman" w:cs="Times New Roman"/>
          <w:bCs/>
          <w:sz w:val="28"/>
          <w:szCs w:val="28"/>
        </w:rPr>
      </w:pPr>
      <w:r>
        <w:rPr>
          <w:rFonts w:eastAsia="Times New Roman" w:cs="Times New Roman"/>
          <w:bCs/>
          <w:sz w:val="28"/>
          <w:szCs w:val="28"/>
        </w:rPr>
        <w:t>Historically, Paragraph XVI has been interpreted to NOT prohibit things such as:</w:t>
      </w:r>
    </w:p>
    <w:p w14:paraId="0D938113" w14:textId="1A5F3B59" w:rsidR="0061384A" w:rsidRDefault="0061384A" w:rsidP="0061384A">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Removing clothing from the defendant</w:t>
      </w:r>
    </w:p>
    <w:p w14:paraId="52747C1B" w14:textId="325404D5" w:rsidR="0061384A" w:rsidRDefault="00FC6364" w:rsidP="0061384A">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Taking shoes from the defendant</w:t>
      </w:r>
    </w:p>
    <w:p w14:paraId="5C4A38FE" w14:textId="77C3D879" w:rsidR="00FC6364" w:rsidRDefault="00FC6364" w:rsidP="0061384A">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Taking blood-stained clothes from the defendant</w:t>
      </w:r>
    </w:p>
    <w:p w14:paraId="2F548029" w14:textId="5A3DCF8C" w:rsidR="00FC6364" w:rsidRDefault="00FC6364" w:rsidP="0061384A">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Pulling boots off of a defendant</w:t>
      </w:r>
    </w:p>
    <w:p w14:paraId="10501364" w14:textId="66CBFF6F" w:rsidR="00FC6364" w:rsidRDefault="00FC6364" w:rsidP="0061384A">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Requiring a convicted felon to provide a DNA sample</w:t>
      </w:r>
    </w:p>
    <w:p w14:paraId="3B132562" w14:textId="214ACF38" w:rsidR="00FC6364" w:rsidRDefault="00FC6364" w:rsidP="0061384A">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Requiring defendant to strip to the waist to allow photographs to be taken of the defendant’s tattoos</w:t>
      </w:r>
    </w:p>
    <w:p w14:paraId="4C5FAE1B" w14:textId="696E044B" w:rsidR="00FC6364" w:rsidRDefault="00FC6364" w:rsidP="00FC6364">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Taking an impression of the defendant’s teeth</w:t>
      </w:r>
    </w:p>
    <w:p w14:paraId="3CA7A1CA" w14:textId="22439E4F" w:rsidR="00986816" w:rsidRDefault="00986816" w:rsidP="00FC6364">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Withdrawing blood from an unconscious defendant</w:t>
      </w:r>
    </w:p>
    <w:p w14:paraId="171CF8CB" w14:textId="639BE0A5" w:rsidR="00986816" w:rsidRDefault="00986816" w:rsidP="00FC6364">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Requiring defendant to undergo surgery to remove a bullet from his body</w:t>
      </w:r>
    </w:p>
    <w:p w14:paraId="6E05F2CE" w14:textId="6457F3AE" w:rsidR="00986816" w:rsidRDefault="00986816" w:rsidP="00986816">
      <w:pPr>
        <w:pStyle w:val="ListParagraph"/>
        <w:numPr>
          <w:ilvl w:val="1"/>
          <w:numId w:val="5"/>
        </w:numPr>
        <w:spacing w:after="200" w:line="480" w:lineRule="auto"/>
        <w:rPr>
          <w:rFonts w:eastAsia="Times New Roman" w:cs="Times New Roman"/>
          <w:bCs/>
          <w:sz w:val="28"/>
          <w:szCs w:val="28"/>
        </w:rPr>
      </w:pPr>
      <w:r>
        <w:rPr>
          <w:rFonts w:eastAsia="Times New Roman" w:cs="Times New Roman"/>
          <w:bCs/>
          <w:sz w:val="28"/>
          <w:szCs w:val="28"/>
        </w:rPr>
        <w:t xml:space="preserve">As you can see, all of these activities </w:t>
      </w:r>
      <w:r w:rsidR="004514E9">
        <w:rPr>
          <w:rFonts w:eastAsia="Times New Roman" w:cs="Times New Roman"/>
          <w:bCs/>
          <w:sz w:val="28"/>
          <w:szCs w:val="28"/>
        </w:rPr>
        <w:t xml:space="preserve">deemed allowable under the Georgia Constitution </w:t>
      </w:r>
      <w:r>
        <w:rPr>
          <w:rFonts w:eastAsia="Times New Roman" w:cs="Times New Roman"/>
          <w:bCs/>
          <w:sz w:val="28"/>
          <w:szCs w:val="28"/>
        </w:rPr>
        <w:t xml:space="preserve">required the defendant to </w:t>
      </w:r>
      <w:r w:rsidR="004514E9">
        <w:rPr>
          <w:rFonts w:eastAsia="Times New Roman" w:cs="Times New Roman"/>
          <w:bCs/>
          <w:sz w:val="28"/>
          <w:szCs w:val="28"/>
        </w:rPr>
        <w:t xml:space="preserve">merely </w:t>
      </w:r>
      <w:r>
        <w:rPr>
          <w:rFonts w:eastAsia="Times New Roman" w:cs="Times New Roman"/>
          <w:bCs/>
          <w:sz w:val="28"/>
          <w:szCs w:val="28"/>
        </w:rPr>
        <w:t xml:space="preserve">be present for someone else to </w:t>
      </w:r>
      <w:r>
        <w:rPr>
          <w:rFonts w:eastAsia="Times New Roman" w:cs="Times New Roman"/>
          <w:bCs/>
          <w:sz w:val="28"/>
          <w:szCs w:val="28"/>
        </w:rPr>
        <w:lastRenderedPageBreak/>
        <w:t>do something – the defendant is not required to do anything other than be present</w:t>
      </w:r>
    </w:p>
    <w:p w14:paraId="4D221486" w14:textId="5F7330EA" w:rsidR="00DE1E26" w:rsidRDefault="00986816" w:rsidP="00986816">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 xml:space="preserve">The focus is not on how intrusive the procedure might be – </w:t>
      </w:r>
      <w:r w:rsidR="00DE1E26">
        <w:rPr>
          <w:rFonts w:eastAsia="Times New Roman" w:cs="Times New Roman"/>
          <w:bCs/>
          <w:sz w:val="28"/>
          <w:szCs w:val="28"/>
        </w:rPr>
        <w:t>I cannot imagine anything more intrusive than requiring a defendant to undergo surgery</w:t>
      </w:r>
    </w:p>
    <w:p w14:paraId="3C4BCB72" w14:textId="49EF193D" w:rsidR="00986816" w:rsidRDefault="00DE1E26" w:rsidP="00DE1E26">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I</w:t>
      </w:r>
      <w:r w:rsidR="00986816">
        <w:rPr>
          <w:rFonts w:eastAsia="Times New Roman" w:cs="Times New Roman"/>
          <w:bCs/>
          <w:sz w:val="28"/>
          <w:szCs w:val="28"/>
        </w:rPr>
        <w:t xml:space="preserve">nstead, the focus is on whether the defendant had to “act” </w:t>
      </w:r>
    </w:p>
    <w:p w14:paraId="52F4FEDB" w14:textId="1FE85CC4" w:rsidR="00986816" w:rsidRDefault="004514E9" w:rsidP="004514E9">
      <w:pPr>
        <w:pStyle w:val="ListParagraph"/>
        <w:numPr>
          <w:ilvl w:val="1"/>
          <w:numId w:val="5"/>
        </w:numPr>
        <w:spacing w:after="200" w:line="480" w:lineRule="auto"/>
        <w:rPr>
          <w:rFonts w:eastAsia="Times New Roman" w:cs="Times New Roman"/>
          <w:bCs/>
          <w:sz w:val="28"/>
          <w:szCs w:val="28"/>
        </w:rPr>
      </w:pPr>
      <w:r>
        <w:rPr>
          <w:rFonts w:eastAsia="Times New Roman" w:cs="Times New Roman"/>
          <w:bCs/>
          <w:sz w:val="28"/>
          <w:szCs w:val="28"/>
        </w:rPr>
        <w:t>Applying that logic to the DUI scenario, the courts held that providing a deep lung breath sample required the defendant to breath “abnormally”</w:t>
      </w:r>
    </w:p>
    <w:p w14:paraId="303B7CBB" w14:textId="6ABFA2C3" w:rsidR="004514E9" w:rsidRDefault="004514E9" w:rsidP="004514E9">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Requiring a urine sample requires the defendant to urinate on demand</w:t>
      </w:r>
    </w:p>
    <w:p w14:paraId="54D40135" w14:textId="5C9C4B99" w:rsidR="004514E9" w:rsidRDefault="004514E9" w:rsidP="004514E9">
      <w:pPr>
        <w:pStyle w:val="ListParagraph"/>
        <w:numPr>
          <w:ilvl w:val="0"/>
          <w:numId w:val="5"/>
        </w:numPr>
        <w:spacing w:after="200" w:line="480" w:lineRule="auto"/>
        <w:rPr>
          <w:rFonts w:eastAsia="Times New Roman" w:cs="Times New Roman"/>
          <w:bCs/>
          <w:sz w:val="28"/>
          <w:szCs w:val="28"/>
        </w:rPr>
      </w:pPr>
      <w:r>
        <w:rPr>
          <w:rFonts w:eastAsia="Times New Roman" w:cs="Times New Roman"/>
          <w:bCs/>
          <w:sz w:val="28"/>
          <w:szCs w:val="28"/>
        </w:rPr>
        <w:t>By comparison, when a blood test is requested, the defendant merely needs to be present while an EMT, doctor or other medical professional withdraws a blood sample from the defendant</w:t>
      </w:r>
    </w:p>
    <w:p w14:paraId="730D0BBD" w14:textId="6A6A7317" w:rsidR="004514E9" w:rsidRDefault="004514E9" w:rsidP="004514E9">
      <w:pPr>
        <w:pStyle w:val="ListParagraph"/>
        <w:numPr>
          <w:ilvl w:val="1"/>
          <w:numId w:val="5"/>
        </w:numPr>
        <w:spacing w:after="200" w:line="480" w:lineRule="auto"/>
        <w:rPr>
          <w:rFonts w:eastAsia="Times New Roman" w:cs="Times New Roman"/>
          <w:bCs/>
          <w:sz w:val="28"/>
          <w:szCs w:val="28"/>
        </w:rPr>
      </w:pPr>
      <w:r>
        <w:rPr>
          <w:rFonts w:eastAsia="Times New Roman" w:cs="Times New Roman"/>
          <w:bCs/>
          <w:sz w:val="28"/>
          <w:szCs w:val="28"/>
        </w:rPr>
        <w:t xml:space="preserve">Therefore, </w:t>
      </w:r>
      <w:r w:rsidR="00C432DF">
        <w:rPr>
          <w:rFonts w:eastAsia="Times New Roman" w:cs="Times New Roman"/>
          <w:bCs/>
          <w:sz w:val="28"/>
          <w:szCs w:val="28"/>
        </w:rPr>
        <w:t>according to the logic, the Georgia Constitution’s prohibition against self-compelled acts is not violated by a blood test whereas it may be violated by a breath test or urine test.</w:t>
      </w:r>
    </w:p>
    <w:p w14:paraId="10CE2F4C" w14:textId="19347D73" w:rsidR="00D56979" w:rsidRPr="00D56979" w:rsidRDefault="00000000" w:rsidP="00D56979">
      <w:pPr>
        <w:spacing w:after="200" w:line="480" w:lineRule="auto"/>
        <w:rPr>
          <w:rFonts w:eastAsia="Times New Roman" w:cs="Times New Roman"/>
          <w:bCs/>
          <w:sz w:val="28"/>
          <w:szCs w:val="28"/>
        </w:rPr>
      </w:pPr>
      <w:r>
        <w:rPr>
          <w:rFonts w:eastAsia="Times New Roman" w:cs="Times New Roman"/>
          <w:b/>
          <w:sz w:val="28"/>
          <w:szCs w:val="28"/>
        </w:rPr>
        <w:pict w14:anchorId="048FBC39">
          <v:rect id="_x0000_i1033" style="width:0;height:1.5pt" o:hralign="center" o:hrstd="t" o:hr="t" fillcolor="#a0a0a0" stroked="f"/>
        </w:pict>
      </w:r>
    </w:p>
    <w:p w14:paraId="732C92C9" w14:textId="6E79941F" w:rsidR="002E39FC" w:rsidRDefault="002E39FC" w:rsidP="00862974">
      <w:pPr>
        <w:keepNext/>
        <w:spacing w:after="200" w:line="480" w:lineRule="auto"/>
        <w:jc w:val="center"/>
        <w:rPr>
          <w:rFonts w:eastAsia="Times New Roman" w:cs="Times New Roman"/>
          <w:b/>
          <w:i/>
          <w:iCs/>
          <w:sz w:val="28"/>
          <w:szCs w:val="28"/>
        </w:rPr>
      </w:pPr>
      <w:r>
        <w:rPr>
          <w:rFonts w:eastAsia="Times New Roman" w:cs="Times New Roman"/>
          <w:b/>
          <w:i/>
          <w:iCs/>
          <w:sz w:val="28"/>
          <w:szCs w:val="28"/>
        </w:rPr>
        <w:t>STATE v. RANDALL</w:t>
      </w:r>
    </w:p>
    <w:p w14:paraId="49344DF7" w14:textId="258B2376" w:rsidR="009328C3" w:rsidRDefault="009328C3" w:rsidP="009328C3">
      <w:pPr>
        <w:pStyle w:val="ListParagraph"/>
        <w:numPr>
          <w:ilvl w:val="0"/>
          <w:numId w:val="5"/>
        </w:numPr>
        <w:spacing w:after="200" w:line="480" w:lineRule="auto"/>
        <w:rPr>
          <w:rFonts w:eastAsia="Times New Roman" w:cs="Times New Roman"/>
          <w:bCs/>
          <w:sz w:val="28"/>
          <w:szCs w:val="28"/>
        </w:rPr>
      </w:pPr>
      <w:r>
        <w:rPr>
          <w:rFonts w:eastAsia="Times New Roman" w:cs="Times New Roman"/>
          <w:bCs/>
          <w:sz w:val="28"/>
          <w:szCs w:val="28"/>
        </w:rPr>
        <w:t xml:space="preserve">Enter into the fray the case of </w:t>
      </w:r>
      <w:r>
        <w:rPr>
          <w:rFonts w:eastAsia="Times New Roman" w:cs="Times New Roman"/>
          <w:bCs/>
          <w:i/>
          <w:iCs/>
          <w:sz w:val="28"/>
          <w:szCs w:val="28"/>
        </w:rPr>
        <w:t>State v. Randall</w:t>
      </w:r>
      <w:r>
        <w:rPr>
          <w:rFonts w:eastAsia="Times New Roman" w:cs="Times New Roman"/>
          <w:bCs/>
          <w:sz w:val="28"/>
          <w:szCs w:val="28"/>
        </w:rPr>
        <w:t>.</w:t>
      </w:r>
      <w:r>
        <w:rPr>
          <w:rStyle w:val="EndnoteReference"/>
          <w:rFonts w:eastAsia="Times New Roman" w:cs="Times New Roman"/>
          <w:bCs/>
          <w:szCs w:val="28"/>
        </w:rPr>
        <w:endnoteReference w:id="8"/>
      </w:r>
    </w:p>
    <w:p w14:paraId="65DC1FC9" w14:textId="4E248060" w:rsidR="009328C3" w:rsidRDefault="009328C3" w:rsidP="009328C3">
      <w:pPr>
        <w:pStyle w:val="ListParagraph"/>
        <w:numPr>
          <w:ilvl w:val="1"/>
          <w:numId w:val="5"/>
        </w:numPr>
        <w:spacing w:after="200" w:line="480" w:lineRule="auto"/>
        <w:rPr>
          <w:rFonts w:eastAsia="Times New Roman" w:cs="Times New Roman"/>
          <w:bCs/>
          <w:sz w:val="28"/>
          <w:szCs w:val="28"/>
        </w:rPr>
      </w:pPr>
      <w:r>
        <w:rPr>
          <w:rFonts w:eastAsia="Times New Roman" w:cs="Times New Roman"/>
          <w:bCs/>
          <w:sz w:val="28"/>
          <w:szCs w:val="28"/>
        </w:rPr>
        <w:lastRenderedPageBreak/>
        <w:t>This case bears some explanation</w:t>
      </w:r>
    </w:p>
    <w:p w14:paraId="695DD19E" w14:textId="4CDFC20A" w:rsidR="009328C3" w:rsidRDefault="009328C3" w:rsidP="009328C3">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Randall was stopped in Athens-Clarke County for failing to maintain his lane.  The officer performing the traffic stop smelled an odor of alcohol, noticed the defendant had trouble with balance and had glassy eyes.</w:t>
      </w:r>
      <w:r w:rsidR="00D972A9">
        <w:rPr>
          <w:rFonts w:eastAsia="Times New Roman" w:cs="Times New Roman"/>
          <w:bCs/>
          <w:sz w:val="28"/>
          <w:szCs w:val="28"/>
        </w:rPr>
        <w:t xml:space="preserve">  The officer arrested him for DUI and after reading the appropriate ICW, the defendant refused testing.</w:t>
      </w:r>
    </w:p>
    <w:p w14:paraId="3F23E0CF" w14:textId="39EA50F4" w:rsidR="00D972A9" w:rsidRDefault="00D972A9" w:rsidP="009328C3">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 xml:space="preserve">The defendant filed a motion to suppress where he argued that admitting the refusal </w:t>
      </w:r>
      <w:r w:rsidR="00D56979">
        <w:rPr>
          <w:rFonts w:eastAsia="Times New Roman" w:cs="Times New Roman"/>
          <w:bCs/>
          <w:sz w:val="28"/>
          <w:szCs w:val="28"/>
        </w:rPr>
        <w:t>into evidence would be</w:t>
      </w:r>
      <w:r>
        <w:rPr>
          <w:rFonts w:eastAsia="Times New Roman" w:cs="Times New Roman"/>
          <w:bCs/>
          <w:sz w:val="28"/>
          <w:szCs w:val="28"/>
        </w:rPr>
        <w:t xml:space="preserve"> a violation of the Georgia Constitution. (We all have expected this argument following the other DUI cases of </w:t>
      </w:r>
      <w:r>
        <w:rPr>
          <w:rFonts w:eastAsia="Times New Roman" w:cs="Times New Roman"/>
          <w:bCs/>
          <w:i/>
          <w:iCs/>
          <w:sz w:val="28"/>
          <w:szCs w:val="28"/>
        </w:rPr>
        <w:t>Elliott</w:t>
      </w:r>
      <w:r>
        <w:rPr>
          <w:rFonts w:eastAsia="Times New Roman" w:cs="Times New Roman"/>
          <w:bCs/>
          <w:sz w:val="28"/>
          <w:szCs w:val="28"/>
        </w:rPr>
        <w:t xml:space="preserve">, </w:t>
      </w:r>
      <w:r>
        <w:rPr>
          <w:rFonts w:eastAsia="Times New Roman" w:cs="Times New Roman"/>
          <w:bCs/>
          <w:i/>
          <w:iCs/>
          <w:sz w:val="28"/>
          <w:szCs w:val="28"/>
        </w:rPr>
        <w:t>Olevik</w:t>
      </w:r>
      <w:r>
        <w:rPr>
          <w:rFonts w:eastAsia="Times New Roman" w:cs="Times New Roman"/>
          <w:bCs/>
          <w:sz w:val="28"/>
          <w:szCs w:val="28"/>
        </w:rPr>
        <w:t xml:space="preserve"> and </w:t>
      </w:r>
      <w:r>
        <w:rPr>
          <w:rFonts w:eastAsia="Times New Roman" w:cs="Times New Roman"/>
          <w:bCs/>
          <w:i/>
          <w:iCs/>
          <w:sz w:val="28"/>
          <w:szCs w:val="28"/>
        </w:rPr>
        <w:t>Awad</w:t>
      </w:r>
      <w:r>
        <w:rPr>
          <w:rFonts w:eastAsia="Times New Roman" w:cs="Times New Roman"/>
          <w:bCs/>
          <w:sz w:val="28"/>
          <w:szCs w:val="28"/>
        </w:rPr>
        <w:t xml:space="preserve">).  The trial court granted the motion to suppress, suppressing the refusal from evidence.  The trial court reasoned that </w:t>
      </w:r>
      <w:r w:rsidR="001F73BD">
        <w:rPr>
          <w:rFonts w:eastAsia="Times New Roman" w:cs="Times New Roman"/>
          <w:bCs/>
          <w:sz w:val="28"/>
          <w:szCs w:val="28"/>
        </w:rPr>
        <w:t>the ICW statute “needlessly and unnecessarily chills a defendant’s exercise of the constitutional right to refuse a warrantless search….”</w:t>
      </w:r>
      <w:r w:rsidR="00D56979">
        <w:rPr>
          <w:rFonts w:eastAsia="Times New Roman" w:cs="Times New Roman"/>
          <w:bCs/>
          <w:sz w:val="28"/>
          <w:szCs w:val="28"/>
        </w:rPr>
        <w:t xml:space="preserve">  The trial court found the statute to be unconstitutional.</w:t>
      </w:r>
    </w:p>
    <w:p w14:paraId="4AACAD19" w14:textId="39B5FEBA" w:rsidR="001F73BD" w:rsidRDefault="001F73BD" w:rsidP="009328C3">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In what I would described as ingenuity, the prosecutor argued that because the public is aware of the availability of chemical testing in connection with DUI, the</w:t>
      </w:r>
      <w:r w:rsidR="00D56979">
        <w:rPr>
          <w:rFonts w:eastAsia="Times New Roman" w:cs="Times New Roman"/>
          <w:bCs/>
          <w:sz w:val="28"/>
          <w:szCs w:val="28"/>
        </w:rPr>
        <w:t xml:space="preserve"> State</w:t>
      </w:r>
      <w:r>
        <w:rPr>
          <w:rFonts w:eastAsia="Times New Roman" w:cs="Times New Roman"/>
          <w:bCs/>
          <w:sz w:val="28"/>
          <w:szCs w:val="28"/>
        </w:rPr>
        <w:t xml:space="preserve"> wanted to introduce the refusal but not request the jury charge on the </w:t>
      </w:r>
      <w:r w:rsidR="00D56979">
        <w:rPr>
          <w:rFonts w:eastAsia="Times New Roman" w:cs="Times New Roman"/>
          <w:bCs/>
          <w:sz w:val="28"/>
          <w:szCs w:val="28"/>
        </w:rPr>
        <w:t>inference</w:t>
      </w:r>
      <w:r>
        <w:rPr>
          <w:rFonts w:eastAsia="Times New Roman" w:cs="Times New Roman"/>
          <w:bCs/>
          <w:sz w:val="28"/>
          <w:szCs w:val="28"/>
        </w:rPr>
        <w:t xml:space="preserve"> that can be made from a refusal.</w:t>
      </w:r>
    </w:p>
    <w:p w14:paraId="44AD1765" w14:textId="114C341C" w:rsidR="001F73BD" w:rsidRDefault="001F73BD" w:rsidP="001F73BD">
      <w:pPr>
        <w:pStyle w:val="ListParagraph"/>
        <w:numPr>
          <w:ilvl w:val="3"/>
          <w:numId w:val="5"/>
        </w:numPr>
        <w:spacing w:after="200" w:line="480" w:lineRule="auto"/>
        <w:rPr>
          <w:rFonts w:eastAsia="Times New Roman" w:cs="Times New Roman"/>
          <w:bCs/>
          <w:sz w:val="28"/>
          <w:szCs w:val="28"/>
        </w:rPr>
      </w:pPr>
      <w:r>
        <w:rPr>
          <w:rFonts w:eastAsia="Times New Roman" w:cs="Times New Roman"/>
          <w:bCs/>
          <w:sz w:val="28"/>
          <w:szCs w:val="28"/>
        </w:rPr>
        <w:lastRenderedPageBreak/>
        <w:t xml:space="preserve">Side note – The pattern instruction </w:t>
      </w:r>
      <w:r w:rsidR="005B72B0">
        <w:rPr>
          <w:rFonts w:eastAsia="Times New Roman" w:cs="Times New Roman"/>
          <w:bCs/>
          <w:sz w:val="28"/>
          <w:szCs w:val="28"/>
        </w:rPr>
        <w:t xml:space="preserve">on refusals tells the jury that if the defendant refused the test, they may infer that the test would have shown the presence of (alcohol)(drugs), but not that the (alcohol) (drugs) impaired the defendant’s driving.  The inference can be rebutted and </w:t>
      </w:r>
      <w:r w:rsidR="00D56979">
        <w:rPr>
          <w:rFonts w:eastAsia="Times New Roman" w:cs="Times New Roman"/>
          <w:bCs/>
          <w:sz w:val="28"/>
          <w:szCs w:val="28"/>
        </w:rPr>
        <w:t>the refusal is</w:t>
      </w:r>
      <w:r w:rsidR="005B72B0">
        <w:rPr>
          <w:rFonts w:eastAsia="Times New Roman" w:cs="Times New Roman"/>
          <w:bCs/>
          <w:sz w:val="28"/>
          <w:szCs w:val="28"/>
        </w:rPr>
        <w:t xml:space="preserve"> not sufficient to convict the defendant of DUI.</w:t>
      </w:r>
    </w:p>
    <w:p w14:paraId="6467D6F8" w14:textId="1A18AD0D" w:rsidR="005B72B0" w:rsidRDefault="005B72B0" w:rsidP="005B72B0">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The State argued that they wanted to introduce the refusal “to explain the absence of test results”  They submitted that the jury charge authorizing the rebuttable inference</w:t>
      </w:r>
      <w:r w:rsidR="00250794">
        <w:rPr>
          <w:rFonts w:eastAsia="Times New Roman" w:cs="Times New Roman"/>
          <w:bCs/>
          <w:sz w:val="28"/>
          <w:szCs w:val="28"/>
        </w:rPr>
        <w:t xml:space="preserve"> would not be sought.</w:t>
      </w:r>
    </w:p>
    <w:p w14:paraId="3FB38292" w14:textId="7698F3D8" w:rsidR="00250794" w:rsidRDefault="00250794" w:rsidP="00250794">
      <w:pPr>
        <w:pStyle w:val="ListParagraph"/>
        <w:numPr>
          <w:ilvl w:val="1"/>
          <w:numId w:val="5"/>
        </w:numPr>
        <w:spacing w:after="200" w:line="480" w:lineRule="auto"/>
        <w:rPr>
          <w:rFonts w:eastAsia="Times New Roman" w:cs="Times New Roman"/>
          <w:bCs/>
          <w:sz w:val="28"/>
          <w:szCs w:val="28"/>
        </w:rPr>
      </w:pPr>
      <w:r>
        <w:rPr>
          <w:rFonts w:eastAsia="Times New Roman" w:cs="Times New Roman"/>
          <w:bCs/>
          <w:sz w:val="28"/>
          <w:szCs w:val="28"/>
        </w:rPr>
        <w:t xml:space="preserve">In a relatively brief decision authored by Justice Ellington and joined by all of the Justices, they found that the State could have the refusal admitted for the sole </w:t>
      </w:r>
      <w:r w:rsidR="0063714F">
        <w:rPr>
          <w:rFonts w:eastAsia="Times New Roman" w:cs="Times New Roman"/>
          <w:bCs/>
          <w:sz w:val="28"/>
          <w:szCs w:val="28"/>
        </w:rPr>
        <w:t>purpose</w:t>
      </w:r>
      <w:r>
        <w:rPr>
          <w:rFonts w:eastAsia="Times New Roman" w:cs="Times New Roman"/>
          <w:bCs/>
          <w:sz w:val="28"/>
          <w:szCs w:val="28"/>
        </w:rPr>
        <w:t xml:space="preserve"> they argued and that the trial court could not give the “inference” charge.  They further held that the defendant may want to have a limiting instruction given, and that issue is to be addressed by the trial judge.</w:t>
      </w:r>
    </w:p>
    <w:p w14:paraId="7A7CE2AF" w14:textId="0263458E" w:rsidR="00250794" w:rsidRDefault="00250794" w:rsidP="00250794">
      <w:pPr>
        <w:pStyle w:val="ListParagraph"/>
        <w:numPr>
          <w:ilvl w:val="1"/>
          <w:numId w:val="5"/>
        </w:numPr>
        <w:spacing w:after="200" w:line="480" w:lineRule="auto"/>
        <w:rPr>
          <w:rFonts w:eastAsia="Times New Roman" w:cs="Times New Roman"/>
          <w:bCs/>
          <w:sz w:val="28"/>
          <w:szCs w:val="28"/>
        </w:rPr>
      </w:pPr>
      <w:r>
        <w:rPr>
          <w:rFonts w:eastAsia="Times New Roman" w:cs="Times New Roman"/>
          <w:bCs/>
          <w:sz w:val="28"/>
          <w:szCs w:val="28"/>
        </w:rPr>
        <w:t>Finally, the Ga. Supreme Court held, “We emphasize that, in vacating the trial court’s ruling in this case, we express no opinion</w:t>
      </w:r>
      <w:r w:rsidR="00D56979">
        <w:rPr>
          <w:rFonts w:eastAsia="Times New Roman" w:cs="Times New Roman"/>
          <w:bCs/>
          <w:sz w:val="28"/>
          <w:szCs w:val="28"/>
        </w:rPr>
        <w:t xml:space="preserve"> about the important and difficult constitutional questions that remain unresolved.”</w:t>
      </w:r>
      <w:r w:rsidR="00D56979">
        <w:rPr>
          <w:rStyle w:val="EndnoteReference"/>
          <w:rFonts w:eastAsia="Times New Roman" w:cs="Times New Roman"/>
          <w:bCs/>
          <w:szCs w:val="28"/>
        </w:rPr>
        <w:endnoteReference w:id="9"/>
      </w:r>
    </w:p>
    <w:p w14:paraId="35701401" w14:textId="1983DC8D" w:rsidR="0063714F" w:rsidRPr="0063714F" w:rsidRDefault="00000000" w:rsidP="0063714F">
      <w:pPr>
        <w:spacing w:after="200" w:line="480" w:lineRule="auto"/>
        <w:rPr>
          <w:rFonts w:eastAsia="Times New Roman" w:cs="Times New Roman"/>
          <w:bCs/>
          <w:sz w:val="28"/>
          <w:szCs w:val="28"/>
        </w:rPr>
      </w:pPr>
      <w:r>
        <w:rPr>
          <w:rFonts w:eastAsia="Times New Roman" w:cs="Times New Roman"/>
          <w:b/>
          <w:sz w:val="28"/>
          <w:szCs w:val="28"/>
        </w:rPr>
        <w:pict w14:anchorId="6F86980B">
          <v:rect id="_x0000_i1034" style="width:0;height:1.5pt" o:hralign="center" o:hrstd="t" o:hr="t" fillcolor="#a0a0a0" stroked="f"/>
        </w:pict>
      </w:r>
    </w:p>
    <w:p w14:paraId="0DFC5EAF" w14:textId="2A1550E1" w:rsidR="0063714F" w:rsidRDefault="0063714F" w:rsidP="0063714F">
      <w:pPr>
        <w:keepNext/>
        <w:spacing w:after="200" w:line="480" w:lineRule="auto"/>
        <w:jc w:val="center"/>
        <w:rPr>
          <w:rFonts w:eastAsia="Times New Roman" w:cs="Times New Roman"/>
          <w:b/>
          <w:sz w:val="28"/>
          <w:szCs w:val="28"/>
        </w:rPr>
      </w:pPr>
      <w:r>
        <w:rPr>
          <w:rFonts w:eastAsia="Times New Roman" w:cs="Times New Roman"/>
          <w:b/>
          <w:sz w:val="28"/>
          <w:szCs w:val="28"/>
        </w:rPr>
        <w:lastRenderedPageBreak/>
        <w:t>DISCUSSION</w:t>
      </w:r>
    </w:p>
    <w:p w14:paraId="0ECC8256" w14:textId="6597488D" w:rsidR="0063714F" w:rsidRDefault="0063714F" w:rsidP="0063714F">
      <w:pPr>
        <w:pStyle w:val="ListParagraph"/>
        <w:numPr>
          <w:ilvl w:val="0"/>
          <w:numId w:val="5"/>
        </w:numPr>
        <w:spacing w:after="200" w:line="480" w:lineRule="auto"/>
        <w:rPr>
          <w:rFonts w:eastAsia="Times New Roman" w:cs="Times New Roman"/>
          <w:bCs/>
          <w:sz w:val="28"/>
          <w:szCs w:val="28"/>
        </w:rPr>
      </w:pPr>
      <w:r>
        <w:rPr>
          <w:rFonts w:eastAsia="Times New Roman" w:cs="Times New Roman"/>
          <w:bCs/>
          <w:sz w:val="28"/>
          <w:szCs w:val="28"/>
        </w:rPr>
        <w:t>Before going further, we are expressing our opinions without the benefit of the wealth of knowledge we had when Judge Studdard was with us</w:t>
      </w:r>
    </w:p>
    <w:p w14:paraId="77C72BE6" w14:textId="4A6916A7" w:rsidR="0063714F" w:rsidRDefault="0063714F" w:rsidP="0063714F">
      <w:pPr>
        <w:pStyle w:val="ListParagraph"/>
        <w:numPr>
          <w:ilvl w:val="0"/>
          <w:numId w:val="5"/>
        </w:numPr>
        <w:spacing w:after="200" w:line="480" w:lineRule="auto"/>
        <w:rPr>
          <w:rFonts w:eastAsia="Times New Roman" w:cs="Times New Roman"/>
          <w:bCs/>
          <w:sz w:val="28"/>
          <w:szCs w:val="28"/>
        </w:rPr>
      </w:pPr>
      <w:r>
        <w:rPr>
          <w:rFonts w:eastAsia="Times New Roman" w:cs="Times New Roman"/>
          <w:bCs/>
          <w:sz w:val="28"/>
          <w:szCs w:val="28"/>
        </w:rPr>
        <w:t>With that disclaimer, we dive in:</w:t>
      </w:r>
    </w:p>
    <w:p w14:paraId="3C96D404" w14:textId="048F8022" w:rsidR="0063714F" w:rsidRDefault="0063714F" w:rsidP="0063714F">
      <w:pPr>
        <w:pStyle w:val="ListParagraph"/>
        <w:numPr>
          <w:ilvl w:val="1"/>
          <w:numId w:val="5"/>
        </w:numPr>
        <w:spacing w:after="200" w:line="480" w:lineRule="auto"/>
        <w:rPr>
          <w:rFonts w:eastAsia="Times New Roman" w:cs="Times New Roman"/>
          <w:bCs/>
          <w:sz w:val="28"/>
          <w:szCs w:val="28"/>
        </w:rPr>
      </w:pPr>
      <w:r>
        <w:rPr>
          <w:rFonts w:eastAsia="Times New Roman" w:cs="Times New Roman"/>
          <w:bCs/>
          <w:sz w:val="28"/>
          <w:szCs w:val="28"/>
        </w:rPr>
        <w:t>If we were discussing a drug case and the officer asked for consent to search which the defendant refused, would that refusal be allowed into evidence?</w:t>
      </w:r>
    </w:p>
    <w:p w14:paraId="103341B7" w14:textId="6C3F0EC9" w:rsidR="0063714F" w:rsidRDefault="0063714F" w:rsidP="0063714F">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 xml:space="preserve">As </w:t>
      </w:r>
      <w:r w:rsidR="0053249A">
        <w:rPr>
          <w:rFonts w:eastAsia="Times New Roman" w:cs="Times New Roman"/>
          <w:bCs/>
          <w:sz w:val="28"/>
          <w:szCs w:val="28"/>
        </w:rPr>
        <w:t>argued</w:t>
      </w:r>
      <w:r>
        <w:rPr>
          <w:rFonts w:eastAsia="Times New Roman" w:cs="Times New Roman"/>
          <w:bCs/>
          <w:sz w:val="28"/>
          <w:szCs w:val="28"/>
        </w:rPr>
        <w:t xml:space="preserve"> by the defendant in </w:t>
      </w:r>
      <w:r>
        <w:rPr>
          <w:rFonts w:eastAsia="Times New Roman" w:cs="Times New Roman"/>
          <w:bCs/>
          <w:i/>
          <w:iCs/>
          <w:sz w:val="28"/>
          <w:szCs w:val="28"/>
        </w:rPr>
        <w:t>Randall</w:t>
      </w:r>
      <w:r>
        <w:rPr>
          <w:rFonts w:eastAsia="Times New Roman" w:cs="Times New Roman"/>
          <w:bCs/>
          <w:sz w:val="28"/>
          <w:szCs w:val="28"/>
        </w:rPr>
        <w:t>, admitting the refusal would more likely be treated by the jury as a “consciousness of guilt” issue</w:t>
      </w:r>
    </w:p>
    <w:p w14:paraId="020E939D" w14:textId="75057DA6" w:rsidR="0063714F" w:rsidRDefault="0063714F" w:rsidP="0063714F">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 xml:space="preserve">But, as we have discussed in this podcast, consciousness of guilt </w:t>
      </w:r>
      <w:r w:rsidR="0053249A">
        <w:rPr>
          <w:rFonts w:eastAsia="Times New Roman" w:cs="Times New Roman"/>
          <w:bCs/>
          <w:sz w:val="28"/>
          <w:szCs w:val="28"/>
        </w:rPr>
        <w:t>is allowed when we allow evidence of escape, flight, hiding from law enforcement, etc.</w:t>
      </w:r>
    </w:p>
    <w:p w14:paraId="6EB23B1E" w14:textId="6A0717F4" w:rsidR="0053249A" w:rsidRDefault="0053249A" w:rsidP="0053249A">
      <w:pPr>
        <w:pStyle w:val="ListParagraph"/>
        <w:numPr>
          <w:ilvl w:val="1"/>
          <w:numId w:val="5"/>
        </w:numPr>
        <w:spacing w:after="200" w:line="480" w:lineRule="auto"/>
        <w:rPr>
          <w:rFonts w:eastAsia="Times New Roman" w:cs="Times New Roman"/>
          <w:bCs/>
          <w:sz w:val="28"/>
          <w:szCs w:val="28"/>
        </w:rPr>
      </w:pPr>
      <w:r>
        <w:rPr>
          <w:rFonts w:eastAsia="Times New Roman" w:cs="Times New Roman"/>
          <w:bCs/>
          <w:sz w:val="28"/>
          <w:szCs w:val="28"/>
        </w:rPr>
        <w:t xml:space="preserve">Remember something very important – most of these “new” DUI decisions have been based upon </w:t>
      </w:r>
      <w:r w:rsidR="00DA498B">
        <w:rPr>
          <w:rFonts w:eastAsia="Times New Roman" w:cs="Times New Roman"/>
          <w:bCs/>
          <w:sz w:val="28"/>
          <w:szCs w:val="28"/>
        </w:rPr>
        <w:t xml:space="preserve">unique aspects of </w:t>
      </w:r>
      <w:r>
        <w:rPr>
          <w:rFonts w:eastAsia="Times New Roman" w:cs="Times New Roman"/>
          <w:bCs/>
          <w:sz w:val="28"/>
          <w:szCs w:val="28"/>
        </w:rPr>
        <w:t>the Georgia Constitution</w:t>
      </w:r>
      <w:r w:rsidR="00DA498B">
        <w:rPr>
          <w:rFonts w:eastAsia="Times New Roman" w:cs="Times New Roman"/>
          <w:bCs/>
          <w:sz w:val="28"/>
          <w:szCs w:val="28"/>
        </w:rPr>
        <w:t>’s version of the 4</w:t>
      </w:r>
      <w:r w:rsidR="00DA498B" w:rsidRPr="00DA498B">
        <w:rPr>
          <w:rFonts w:eastAsia="Times New Roman" w:cs="Times New Roman"/>
          <w:bCs/>
          <w:sz w:val="28"/>
          <w:szCs w:val="28"/>
          <w:vertAlign w:val="superscript"/>
        </w:rPr>
        <w:t>th</w:t>
      </w:r>
      <w:r w:rsidR="00DA498B">
        <w:rPr>
          <w:rFonts w:eastAsia="Times New Roman" w:cs="Times New Roman"/>
          <w:bCs/>
          <w:sz w:val="28"/>
          <w:szCs w:val="28"/>
        </w:rPr>
        <w:t xml:space="preserve"> and 5</w:t>
      </w:r>
      <w:r w:rsidR="00DA498B" w:rsidRPr="00DA498B">
        <w:rPr>
          <w:rFonts w:eastAsia="Times New Roman" w:cs="Times New Roman"/>
          <w:bCs/>
          <w:sz w:val="28"/>
          <w:szCs w:val="28"/>
          <w:vertAlign w:val="superscript"/>
        </w:rPr>
        <w:t>th</w:t>
      </w:r>
      <w:r w:rsidR="00DA498B">
        <w:rPr>
          <w:rFonts w:eastAsia="Times New Roman" w:cs="Times New Roman"/>
          <w:bCs/>
          <w:sz w:val="28"/>
          <w:szCs w:val="28"/>
        </w:rPr>
        <w:t xml:space="preserve"> Amendments</w:t>
      </w:r>
      <w:r>
        <w:rPr>
          <w:rFonts w:eastAsia="Times New Roman" w:cs="Times New Roman"/>
          <w:bCs/>
          <w:sz w:val="28"/>
          <w:szCs w:val="28"/>
        </w:rPr>
        <w:t>.</w:t>
      </w:r>
    </w:p>
    <w:p w14:paraId="09598D4A" w14:textId="39887541" w:rsidR="0053249A" w:rsidRDefault="006B19E1" w:rsidP="0053249A">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The US Supreme Court has held that, under the 4</w:t>
      </w:r>
      <w:r w:rsidRPr="006B19E1">
        <w:rPr>
          <w:rFonts w:eastAsia="Times New Roman" w:cs="Times New Roman"/>
          <w:bCs/>
          <w:sz w:val="28"/>
          <w:szCs w:val="28"/>
          <w:vertAlign w:val="superscript"/>
        </w:rPr>
        <w:t>th</w:t>
      </w:r>
      <w:r>
        <w:rPr>
          <w:rFonts w:eastAsia="Times New Roman" w:cs="Times New Roman"/>
          <w:bCs/>
          <w:sz w:val="28"/>
          <w:szCs w:val="28"/>
        </w:rPr>
        <w:t xml:space="preserve"> Amendment to the US Constitution, breath tests are allowed without a warrant as a search incident to arrest – but warrantless blood tests are NOT allowed under the 4</w:t>
      </w:r>
      <w:r w:rsidRPr="006B19E1">
        <w:rPr>
          <w:rFonts w:eastAsia="Times New Roman" w:cs="Times New Roman"/>
          <w:bCs/>
          <w:sz w:val="28"/>
          <w:szCs w:val="28"/>
          <w:vertAlign w:val="superscript"/>
        </w:rPr>
        <w:t>th</w:t>
      </w:r>
      <w:r>
        <w:rPr>
          <w:rFonts w:eastAsia="Times New Roman" w:cs="Times New Roman"/>
          <w:bCs/>
          <w:sz w:val="28"/>
          <w:szCs w:val="28"/>
        </w:rPr>
        <w:t xml:space="preserve"> Amendment</w:t>
      </w:r>
    </w:p>
    <w:p w14:paraId="797852CD" w14:textId="736B5818" w:rsidR="006B19E1" w:rsidRDefault="006B19E1" w:rsidP="006B19E1">
      <w:pPr>
        <w:pStyle w:val="ListParagraph"/>
        <w:numPr>
          <w:ilvl w:val="3"/>
          <w:numId w:val="5"/>
        </w:numPr>
        <w:spacing w:after="200" w:line="480" w:lineRule="auto"/>
        <w:rPr>
          <w:rFonts w:eastAsia="Times New Roman" w:cs="Times New Roman"/>
          <w:bCs/>
          <w:sz w:val="28"/>
          <w:szCs w:val="28"/>
        </w:rPr>
      </w:pPr>
      <w:r>
        <w:rPr>
          <w:rFonts w:eastAsia="Times New Roman" w:cs="Times New Roman"/>
          <w:bCs/>
          <w:sz w:val="28"/>
          <w:szCs w:val="28"/>
        </w:rPr>
        <w:lastRenderedPageBreak/>
        <w:t>Complete opposite conclusion from analysis under the Georgia Constitution!</w:t>
      </w:r>
    </w:p>
    <w:p w14:paraId="781F793E" w14:textId="69CE5872" w:rsidR="006B19E1" w:rsidRDefault="006B19E1" w:rsidP="006B19E1">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So breath tests (and, assumably, refusal of those tests) would be allowed</w:t>
      </w:r>
      <w:r w:rsidR="00DA498B">
        <w:rPr>
          <w:rFonts w:eastAsia="Times New Roman" w:cs="Times New Roman"/>
          <w:bCs/>
          <w:sz w:val="28"/>
          <w:szCs w:val="28"/>
        </w:rPr>
        <w:t xml:space="preserve"> in evidence</w:t>
      </w:r>
      <w:r>
        <w:rPr>
          <w:rFonts w:eastAsia="Times New Roman" w:cs="Times New Roman"/>
          <w:bCs/>
          <w:sz w:val="28"/>
          <w:szCs w:val="28"/>
        </w:rPr>
        <w:t xml:space="preserve"> under the US Constitution</w:t>
      </w:r>
      <w:r w:rsidR="00DA498B">
        <w:rPr>
          <w:rFonts w:eastAsia="Times New Roman" w:cs="Times New Roman"/>
          <w:bCs/>
          <w:sz w:val="28"/>
          <w:szCs w:val="28"/>
        </w:rPr>
        <w:t xml:space="preserve"> because those results, or the lack thereof, are not protected under the 5</w:t>
      </w:r>
      <w:r w:rsidR="00DA498B" w:rsidRPr="00DA498B">
        <w:rPr>
          <w:rFonts w:eastAsia="Times New Roman" w:cs="Times New Roman"/>
          <w:bCs/>
          <w:sz w:val="28"/>
          <w:szCs w:val="28"/>
          <w:vertAlign w:val="superscript"/>
        </w:rPr>
        <w:t>th</w:t>
      </w:r>
      <w:r w:rsidR="00DA498B">
        <w:rPr>
          <w:rFonts w:eastAsia="Times New Roman" w:cs="Times New Roman"/>
          <w:bCs/>
          <w:sz w:val="28"/>
          <w:szCs w:val="28"/>
        </w:rPr>
        <w:t xml:space="preserve"> Amendment to the US Constitution</w:t>
      </w:r>
      <w:r>
        <w:rPr>
          <w:rFonts w:eastAsia="Times New Roman" w:cs="Times New Roman"/>
          <w:bCs/>
          <w:sz w:val="28"/>
          <w:szCs w:val="28"/>
        </w:rPr>
        <w:t>.</w:t>
      </w:r>
      <w:r w:rsidR="00542C25">
        <w:rPr>
          <w:rStyle w:val="EndnoteReference"/>
          <w:rFonts w:eastAsia="Times New Roman" w:cs="Times New Roman"/>
          <w:bCs/>
          <w:szCs w:val="28"/>
        </w:rPr>
        <w:endnoteReference w:id="10"/>
      </w:r>
    </w:p>
    <w:p w14:paraId="2C240C45" w14:textId="3F8003EF" w:rsidR="00DA498B" w:rsidRDefault="00DA498B" w:rsidP="00DA498B">
      <w:pPr>
        <w:pStyle w:val="ListParagraph"/>
        <w:numPr>
          <w:ilvl w:val="1"/>
          <w:numId w:val="5"/>
        </w:numPr>
        <w:spacing w:after="200" w:line="480" w:lineRule="auto"/>
        <w:rPr>
          <w:rFonts w:eastAsia="Times New Roman" w:cs="Times New Roman"/>
          <w:bCs/>
          <w:sz w:val="28"/>
          <w:szCs w:val="28"/>
        </w:rPr>
      </w:pPr>
      <w:r>
        <w:rPr>
          <w:rFonts w:eastAsia="Times New Roman" w:cs="Times New Roman"/>
          <w:bCs/>
          <w:sz w:val="28"/>
          <w:szCs w:val="28"/>
        </w:rPr>
        <w:t>We apologize if this is becoming difficult to follow but this is complicated stuff.</w:t>
      </w:r>
    </w:p>
    <w:p w14:paraId="2D23CB41" w14:textId="392A3D6D" w:rsidR="004F2279" w:rsidRDefault="004F2279" w:rsidP="004F2279">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In summary, the Georgia Constitution (at least for now) allows for blood tests and for refusal of those tests to be admitted into evidence, along with a charge relating to the limited inference that may be made by the jury.</w:t>
      </w:r>
    </w:p>
    <w:p w14:paraId="24834542" w14:textId="65644F42" w:rsidR="004C28D9" w:rsidRDefault="004C28D9" w:rsidP="004F2279">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These arguments have largely been focused on the Georgia Constitution’s provisions relating to self-incrimination</w:t>
      </w:r>
    </w:p>
    <w:p w14:paraId="54418499" w14:textId="7937A171" w:rsidR="004C28D9" w:rsidRDefault="004C28D9" w:rsidP="004F2279">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 xml:space="preserve">The Ga Supreme Court has decided in </w:t>
      </w:r>
      <w:r>
        <w:rPr>
          <w:rFonts w:eastAsia="Times New Roman" w:cs="Times New Roman"/>
          <w:bCs/>
          <w:i/>
          <w:iCs/>
          <w:sz w:val="28"/>
          <w:szCs w:val="28"/>
        </w:rPr>
        <w:t>Randall</w:t>
      </w:r>
      <w:r>
        <w:rPr>
          <w:rFonts w:eastAsia="Times New Roman" w:cs="Times New Roman"/>
          <w:bCs/>
          <w:sz w:val="28"/>
          <w:szCs w:val="28"/>
        </w:rPr>
        <w:t xml:space="preserve"> that the refusal can be offered into evidence, not to raise an inference that the refusal was related to “consciousness of guilt,” but to explain why there was no chemical testing performed.</w:t>
      </w:r>
    </w:p>
    <w:p w14:paraId="66396881" w14:textId="1D4AE4F3" w:rsidR="004C28D9" w:rsidRDefault="004C28D9" w:rsidP="004C28D9">
      <w:pPr>
        <w:pStyle w:val="ListParagraph"/>
        <w:numPr>
          <w:ilvl w:val="3"/>
          <w:numId w:val="5"/>
        </w:numPr>
        <w:spacing w:after="200" w:line="480" w:lineRule="auto"/>
        <w:rPr>
          <w:rFonts w:eastAsia="Times New Roman" w:cs="Times New Roman"/>
          <w:bCs/>
          <w:sz w:val="28"/>
          <w:szCs w:val="28"/>
        </w:rPr>
      </w:pPr>
      <w:r>
        <w:rPr>
          <w:rFonts w:eastAsia="Times New Roman" w:cs="Times New Roman"/>
          <w:bCs/>
          <w:sz w:val="28"/>
          <w:szCs w:val="28"/>
        </w:rPr>
        <w:lastRenderedPageBreak/>
        <w:t xml:space="preserve">However, </w:t>
      </w:r>
      <w:r w:rsidR="002543EF">
        <w:rPr>
          <w:rFonts w:eastAsia="Times New Roman" w:cs="Times New Roman"/>
          <w:bCs/>
          <w:sz w:val="28"/>
          <w:szCs w:val="28"/>
        </w:rPr>
        <w:t>if the refusal is offered into evidence under that theory</w:t>
      </w:r>
      <w:r>
        <w:rPr>
          <w:rFonts w:eastAsia="Times New Roman" w:cs="Times New Roman"/>
          <w:bCs/>
          <w:sz w:val="28"/>
          <w:szCs w:val="28"/>
        </w:rPr>
        <w:t xml:space="preserve">, </w:t>
      </w:r>
      <w:r w:rsidR="002543EF">
        <w:rPr>
          <w:rFonts w:eastAsia="Times New Roman" w:cs="Times New Roman"/>
          <w:bCs/>
          <w:sz w:val="28"/>
          <w:szCs w:val="28"/>
        </w:rPr>
        <w:t>no jury charge can be given on the inference that might be made and a limiting instruction may be appropriate to ensure the jury does not make that leap in logic.</w:t>
      </w:r>
    </w:p>
    <w:p w14:paraId="5D3E0C80" w14:textId="65E08C6D" w:rsidR="002543EF" w:rsidRDefault="002543EF" w:rsidP="002543EF">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The Ga. Supreme Court has already ruled (</w:t>
      </w:r>
      <w:r>
        <w:rPr>
          <w:rFonts w:eastAsia="Times New Roman" w:cs="Times New Roman"/>
          <w:bCs/>
          <w:i/>
          <w:iCs/>
          <w:sz w:val="28"/>
          <w:szCs w:val="28"/>
        </w:rPr>
        <w:t xml:space="preserve">Elliott and </w:t>
      </w:r>
      <w:r w:rsidR="003F7982">
        <w:rPr>
          <w:rFonts w:eastAsia="Times New Roman" w:cs="Times New Roman"/>
          <w:bCs/>
          <w:i/>
          <w:iCs/>
          <w:sz w:val="28"/>
          <w:szCs w:val="28"/>
        </w:rPr>
        <w:t>Olevik</w:t>
      </w:r>
      <w:r w:rsidR="003F7982">
        <w:rPr>
          <w:rFonts w:eastAsia="Times New Roman" w:cs="Times New Roman"/>
          <w:bCs/>
          <w:sz w:val="28"/>
          <w:szCs w:val="28"/>
        </w:rPr>
        <w:t xml:space="preserve">) </w:t>
      </w:r>
      <w:r w:rsidRPr="003F7982">
        <w:rPr>
          <w:rFonts w:eastAsia="Times New Roman" w:cs="Times New Roman"/>
          <w:bCs/>
          <w:sz w:val="28"/>
          <w:szCs w:val="28"/>
        </w:rPr>
        <w:t>that</w:t>
      </w:r>
      <w:r>
        <w:rPr>
          <w:rFonts w:eastAsia="Times New Roman" w:cs="Times New Roman"/>
          <w:bCs/>
          <w:sz w:val="28"/>
          <w:szCs w:val="28"/>
        </w:rPr>
        <w:t xml:space="preserve"> even if breath tests (and refusals) are allowed under the U.S. Constitution, they are prohibited under the Georgia Constitution.</w:t>
      </w:r>
    </w:p>
    <w:p w14:paraId="47D68D04" w14:textId="6E329B16" w:rsidR="002543EF" w:rsidRDefault="002543EF" w:rsidP="002543EF">
      <w:pPr>
        <w:pStyle w:val="ListParagraph"/>
        <w:numPr>
          <w:ilvl w:val="3"/>
          <w:numId w:val="5"/>
        </w:numPr>
        <w:spacing w:after="200" w:line="480" w:lineRule="auto"/>
        <w:rPr>
          <w:rFonts w:eastAsia="Times New Roman" w:cs="Times New Roman"/>
          <w:bCs/>
          <w:sz w:val="28"/>
          <w:szCs w:val="28"/>
        </w:rPr>
      </w:pPr>
      <w:r>
        <w:rPr>
          <w:rFonts w:eastAsia="Times New Roman" w:cs="Times New Roman"/>
          <w:bCs/>
          <w:i/>
          <w:iCs/>
          <w:sz w:val="28"/>
          <w:szCs w:val="28"/>
        </w:rPr>
        <w:t>Awad</w:t>
      </w:r>
      <w:r>
        <w:rPr>
          <w:rFonts w:eastAsia="Times New Roman" w:cs="Times New Roman"/>
          <w:bCs/>
          <w:sz w:val="28"/>
          <w:szCs w:val="28"/>
        </w:rPr>
        <w:t xml:space="preserve"> clarified that same rule applies to urine testing</w:t>
      </w:r>
    </w:p>
    <w:p w14:paraId="2674931B" w14:textId="520170A1" w:rsidR="00436BC0" w:rsidRDefault="00436BC0" w:rsidP="002543EF">
      <w:pPr>
        <w:pStyle w:val="ListParagraph"/>
        <w:numPr>
          <w:ilvl w:val="3"/>
          <w:numId w:val="5"/>
        </w:numPr>
        <w:spacing w:after="200" w:line="480" w:lineRule="auto"/>
        <w:rPr>
          <w:rFonts w:eastAsia="Times New Roman" w:cs="Times New Roman"/>
          <w:bCs/>
          <w:sz w:val="28"/>
          <w:szCs w:val="28"/>
        </w:rPr>
      </w:pPr>
      <w:r>
        <w:rPr>
          <w:rFonts w:eastAsia="Times New Roman" w:cs="Times New Roman"/>
          <w:bCs/>
          <w:sz w:val="28"/>
          <w:szCs w:val="28"/>
        </w:rPr>
        <w:t>But under US Const, blood tests violate the US Const</w:t>
      </w:r>
    </w:p>
    <w:p w14:paraId="1C4AB07A" w14:textId="1B218EF5" w:rsidR="00436BC0" w:rsidRDefault="00436BC0" w:rsidP="00436BC0">
      <w:pPr>
        <w:pStyle w:val="ListParagraph"/>
        <w:numPr>
          <w:ilvl w:val="4"/>
          <w:numId w:val="5"/>
        </w:numPr>
        <w:spacing w:after="200" w:line="480" w:lineRule="auto"/>
        <w:rPr>
          <w:rFonts w:eastAsia="Times New Roman" w:cs="Times New Roman"/>
          <w:bCs/>
          <w:sz w:val="28"/>
          <w:szCs w:val="28"/>
        </w:rPr>
      </w:pPr>
      <w:r>
        <w:rPr>
          <w:rFonts w:eastAsia="Times New Roman" w:cs="Times New Roman"/>
          <w:bCs/>
          <w:sz w:val="28"/>
          <w:szCs w:val="28"/>
        </w:rPr>
        <w:t>So….</w:t>
      </w:r>
    </w:p>
    <w:p w14:paraId="74484456" w14:textId="6BE024AB" w:rsidR="002543EF" w:rsidRDefault="003F7982" w:rsidP="002543EF">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So, where does all of that deep legal thought leave us?</w:t>
      </w:r>
    </w:p>
    <w:p w14:paraId="10EB972E" w14:textId="049ECE77" w:rsidR="003F7982" w:rsidRPr="0063714F" w:rsidRDefault="003F7982" w:rsidP="002543EF">
      <w:pPr>
        <w:pStyle w:val="ListParagraph"/>
        <w:numPr>
          <w:ilvl w:val="2"/>
          <w:numId w:val="5"/>
        </w:numPr>
        <w:spacing w:after="200" w:line="480" w:lineRule="auto"/>
        <w:rPr>
          <w:rFonts w:eastAsia="Times New Roman" w:cs="Times New Roman"/>
          <w:bCs/>
          <w:sz w:val="28"/>
          <w:szCs w:val="28"/>
        </w:rPr>
      </w:pPr>
      <w:r>
        <w:rPr>
          <w:rFonts w:eastAsia="Times New Roman" w:cs="Times New Roman"/>
          <w:bCs/>
          <w:sz w:val="28"/>
          <w:szCs w:val="28"/>
        </w:rPr>
        <w:t>We may well be returning to search warrants, which solve all of these issues.</w:t>
      </w:r>
    </w:p>
    <w:p w14:paraId="2C5E79B4" w14:textId="77777777" w:rsidR="00555CD3" w:rsidRPr="00555CD3" w:rsidRDefault="00000000" w:rsidP="00555CD3">
      <w:pPr>
        <w:spacing w:after="200" w:line="480" w:lineRule="auto"/>
        <w:rPr>
          <w:rFonts w:eastAsia="Times New Roman" w:cs="Times New Roman"/>
          <w:b/>
          <w:sz w:val="28"/>
          <w:szCs w:val="28"/>
        </w:rPr>
      </w:pPr>
      <w:r>
        <w:rPr>
          <w:rFonts w:eastAsia="Times New Roman" w:cs="Times New Roman"/>
          <w:b/>
          <w:sz w:val="28"/>
          <w:szCs w:val="28"/>
        </w:rPr>
        <w:pict w14:anchorId="01961E6D">
          <v:rect id="_x0000_i1035" style="width:0;height:1.5pt" o:hralign="center" o:hrstd="t" o:hr="t" fillcolor="#a0a0a0" stroked="f"/>
        </w:pict>
      </w:r>
    </w:p>
    <w:p w14:paraId="3EB1CD7C" w14:textId="29E56473" w:rsidR="00555CD3" w:rsidRDefault="003F7982" w:rsidP="00555CD3">
      <w:pPr>
        <w:spacing w:line="480" w:lineRule="auto"/>
        <w:textAlignment w:val="baseline"/>
        <w:rPr>
          <w:rFonts w:eastAsia="Times New Roman" w:cs="Times New Roman"/>
          <w:bCs/>
          <w:sz w:val="28"/>
          <w:szCs w:val="28"/>
        </w:rPr>
      </w:pPr>
      <w:r>
        <w:rPr>
          <w:rFonts w:eastAsia="Times New Roman" w:cs="Times New Roman"/>
          <w:bCs/>
          <w:sz w:val="28"/>
          <w:szCs w:val="28"/>
        </w:rPr>
        <w:t>We thought this episode would be a quick and easy flash episode relating to clarification from the DUI series</w:t>
      </w:r>
    </w:p>
    <w:p w14:paraId="604B699D" w14:textId="30CF26BE" w:rsidR="003F7982" w:rsidRDefault="003F7982" w:rsidP="00555CD3">
      <w:pPr>
        <w:spacing w:line="480" w:lineRule="auto"/>
        <w:textAlignment w:val="baseline"/>
        <w:rPr>
          <w:rFonts w:eastAsia="Times New Roman" w:cs="Times New Roman"/>
          <w:bCs/>
          <w:sz w:val="28"/>
          <w:szCs w:val="28"/>
        </w:rPr>
      </w:pPr>
      <w:r>
        <w:rPr>
          <w:rFonts w:eastAsia="Times New Roman" w:cs="Times New Roman"/>
          <w:bCs/>
          <w:sz w:val="28"/>
          <w:szCs w:val="28"/>
        </w:rPr>
        <w:t>We found ourselves involved in a deep dive into Constitutional law – not where we thought we were headed</w:t>
      </w:r>
    </w:p>
    <w:p w14:paraId="160E1FD1" w14:textId="0E9ADFFE" w:rsidR="003F7982" w:rsidRDefault="003F7982" w:rsidP="00555CD3">
      <w:pPr>
        <w:spacing w:line="480" w:lineRule="auto"/>
        <w:textAlignment w:val="baseline"/>
        <w:rPr>
          <w:rFonts w:eastAsia="Times New Roman" w:cs="Times New Roman"/>
          <w:bCs/>
          <w:sz w:val="28"/>
          <w:szCs w:val="28"/>
        </w:rPr>
      </w:pPr>
      <w:r>
        <w:rPr>
          <w:rFonts w:eastAsia="Times New Roman" w:cs="Times New Roman"/>
          <w:bCs/>
          <w:sz w:val="28"/>
          <w:szCs w:val="28"/>
        </w:rPr>
        <w:lastRenderedPageBreak/>
        <w:t>These are important issues but we understand if you think we have found ourselves in the weeds to a painful extent – we apologize to all of you who are not involved in DUI cases</w:t>
      </w:r>
    </w:p>
    <w:p w14:paraId="1874F26A" w14:textId="238D8A19" w:rsidR="00EB0240" w:rsidRPr="00EB0240" w:rsidRDefault="00862974" w:rsidP="00862974">
      <w:pPr>
        <w:spacing w:line="480" w:lineRule="auto"/>
        <w:textAlignment w:val="baseline"/>
        <w:rPr>
          <w:rFonts w:eastAsia="Times New Roman" w:cs="Times New Roman"/>
          <w:sz w:val="28"/>
          <w:szCs w:val="28"/>
        </w:rPr>
      </w:pPr>
      <w:r>
        <w:rPr>
          <w:rFonts w:eastAsia="Times New Roman" w:cs="Times New Roman"/>
          <w:bCs/>
          <w:sz w:val="28"/>
          <w:szCs w:val="28"/>
        </w:rPr>
        <w:t>But there are more chapters to be written in the coming months and years – so stay tuned.</w:t>
      </w:r>
      <w:r w:rsidR="00EB0240">
        <w:rPr>
          <w:rFonts w:eastAsia="Times New Roman" w:cs="Times New Roman"/>
          <w:sz w:val="28"/>
          <w:szCs w:val="28"/>
        </w:rPr>
        <w:tab/>
      </w:r>
    </w:p>
    <w:p w14:paraId="4624E723" w14:textId="77777777" w:rsidR="00555CD3" w:rsidRPr="00555CD3" w:rsidRDefault="00555CD3" w:rsidP="00555CD3">
      <w:pPr>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The outline is full of statutory and case citations and that outline can be found at </w:t>
      </w:r>
      <w:r w:rsidRPr="00555CD3">
        <w:rPr>
          <w:rFonts w:eastAsia="Times New Roman" w:cs="Times New Roman"/>
          <w:b/>
          <w:sz w:val="28"/>
          <w:szCs w:val="28"/>
        </w:rPr>
        <w:t>goodjudgepod.com</w:t>
      </w:r>
      <w:r w:rsidRPr="00555CD3">
        <w:rPr>
          <w:rFonts w:eastAsia="Times New Roman" w:cs="Times New Roman"/>
          <w:bCs/>
          <w:sz w:val="28"/>
          <w:szCs w:val="28"/>
        </w:rPr>
        <w:t>.</w:t>
      </w:r>
    </w:p>
    <w:p w14:paraId="10C4026F" w14:textId="77777777" w:rsidR="00555CD3" w:rsidRPr="00555CD3" w:rsidRDefault="00555CD3" w:rsidP="00555CD3">
      <w:pPr>
        <w:spacing w:line="480" w:lineRule="auto"/>
        <w:textAlignment w:val="baseline"/>
        <w:rPr>
          <w:rFonts w:eastAsia="Times New Roman" w:cs="Times New Roman"/>
          <w:bCs/>
          <w:sz w:val="28"/>
          <w:szCs w:val="28"/>
        </w:rPr>
      </w:pPr>
      <w:r w:rsidRPr="00555CD3">
        <w:rPr>
          <w:rFonts w:eastAsia="Times New Roman" w:cs="Times New Roman"/>
          <w:bCs/>
          <w:sz w:val="28"/>
          <w:szCs w:val="28"/>
        </w:rPr>
        <w:t xml:space="preserve">Reach out to us on </w:t>
      </w:r>
      <w:hyperlink r:id="rId8" w:history="1">
        <w:r w:rsidRPr="00555CD3">
          <w:rPr>
            <w:rFonts w:eastAsia="Times New Roman" w:cs="Times New Roman"/>
            <w:bCs/>
            <w:color w:val="0000FF"/>
            <w:sz w:val="28"/>
            <w:szCs w:val="28"/>
            <w:u w:val="single"/>
          </w:rPr>
          <w:t>goodjudgepod@gmail.com</w:t>
        </w:r>
      </w:hyperlink>
      <w:r w:rsidRPr="00555CD3">
        <w:rPr>
          <w:rFonts w:eastAsia="Times New Roman" w:cs="Times New Roman"/>
          <w:bCs/>
          <w:sz w:val="28"/>
          <w:szCs w:val="28"/>
        </w:rPr>
        <w:t xml:space="preserve"> with all of your podcast topic ideas</w:t>
      </w:r>
    </w:p>
    <w:p w14:paraId="4A9E1233" w14:textId="77777777" w:rsidR="00555CD3" w:rsidRPr="00555CD3" w:rsidRDefault="00555CD3" w:rsidP="00555CD3">
      <w:pPr>
        <w:spacing w:line="480" w:lineRule="auto"/>
        <w:textAlignment w:val="baseline"/>
        <w:rPr>
          <w:rFonts w:eastAsia="Times New Roman" w:cs="Times New Roman"/>
          <w:b/>
          <w:sz w:val="28"/>
          <w:szCs w:val="28"/>
        </w:rPr>
      </w:pPr>
      <w:r w:rsidRPr="00555CD3">
        <w:rPr>
          <w:rFonts w:eastAsia="Times New Roman" w:cs="Times New Roman"/>
          <w:b/>
          <w:sz w:val="28"/>
          <w:szCs w:val="28"/>
        </w:rPr>
        <w:t>I’m Wade Padgett</w:t>
      </w:r>
    </w:p>
    <w:p w14:paraId="71E12223" w14:textId="3D326623" w:rsidR="00887092" w:rsidRPr="00555CD3" w:rsidRDefault="00555CD3" w:rsidP="00A978B0">
      <w:pPr>
        <w:spacing w:line="480" w:lineRule="auto"/>
        <w:textAlignment w:val="baseline"/>
        <w:rPr>
          <w:rFonts w:eastAsia="Times New Roman" w:cs="Times New Roman"/>
          <w:iCs/>
          <w:sz w:val="28"/>
          <w:szCs w:val="28"/>
        </w:rPr>
      </w:pPr>
      <w:r w:rsidRPr="00555CD3">
        <w:rPr>
          <w:rFonts w:eastAsia="Times New Roman" w:cs="Times New Roman"/>
          <w:i/>
          <w:sz w:val="28"/>
          <w:szCs w:val="28"/>
        </w:rPr>
        <w:t>And I’m Tain Kell…</w:t>
      </w:r>
      <w:r w:rsidR="00862974">
        <w:rPr>
          <w:rFonts w:eastAsia="Times New Roman" w:cs="Times New Roman"/>
          <w:i/>
          <w:sz w:val="28"/>
          <w:szCs w:val="28"/>
        </w:rPr>
        <w:t xml:space="preserve">you know The </w:t>
      </w:r>
      <w:r w:rsidR="00FB0235">
        <w:rPr>
          <w:rFonts w:eastAsia="Times New Roman" w:cs="Times New Roman"/>
          <w:i/>
          <w:sz w:val="28"/>
          <w:szCs w:val="28"/>
        </w:rPr>
        <w:t xml:space="preserve">Captain and Tenille </w:t>
      </w:r>
      <w:bookmarkEnd w:id="0"/>
      <w:r w:rsidR="00053183">
        <w:rPr>
          <w:rFonts w:eastAsia="Times New Roman" w:cs="Times New Roman"/>
          <w:i/>
          <w:sz w:val="28"/>
          <w:szCs w:val="28"/>
        </w:rPr>
        <w:t>actually were married to each other for 39 years.  Unfortunately, love could not keep them together and they divorced in 2014.  (if you are old, you will get the irony)</w:t>
      </w:r>
    </w:p>
    <w:sectPr w:rsidR="00887092" w:rsidRPr="00555CD3" w:rsidSect="00555CD3">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7446" w14:textId="77777777" w:rsidR="005259D9" w:rsidRDefault="005259D9" w:rsidP="00A52F35">
      <w:pPr>
        <w:spacing w:line="240" w:lineRule="auto"/>
      </w:pPr>
      <w:r>
        <w:separator/>
      </w:r>
    </w:p>
  </w:endnote>
  <w:endnote w:type="continuationSeparator" w:id="0">
    <w:p w14:paraId="592214D6" w14:textId="77777777" w:rsidR="005259D9" w:rsidRDefault="005259D9" w:rsidP="00A52F35">
      <w:pPr>
        <w:spacing w:line="240" w:lineRule="auto"/>
      </w:pPr>
      <w:r>
        <w:continuationSeparator/>
      </w:r>
    </w:p>
  </w:endnote>
  <w:endnote w:id="1">
    <w:p w14:paraId="24A425AE" w14:textId="375D85A6" w:rsidR="009320E9" w:rsidRPr="009320E9" w:rsidRDefault="009320E9">
      <w:pPr>
        <w:pStyle w:val="EndnoteText"/>
      </w:pPr>
      <w:r>
        <w:rPr>
          <w:rStyle w:val="EndnoteReference"/>
        </w:rPr>
        <w:endnoteRef/>
      </w:r>
      <w:r>
        <w:t xml:space="preserve"> </w:t>
      </w:r>
      <w:r>
        <w:rPr>
          <w:i/>
          <w:iCs/>
        </w:rPr>
        <w:t>Elliott v. State</w:t>
      </w:r>
      <w:r>
        <w:t>, 305 Ga. 179 (2019).</w:t>
      </w:r>
    </w:p>
  </w:endnote>
  <w:endnote w:id="2">
    <w:p w14:paraId="61CB8F21" w14:textId="5EB9AFE3" w:rsidR="009320E9" w:rsidRPr="009320E9" w:rsidRDefault="009320E9">
      <w:pPr>
        <w:pStyle w:val="EndnoteText"/>
      </w:pPr>
      <w:r>
        <w:rPr>
          <w:rStyle w:val="EndnoteReference"/>
        </w:rPr>
        <w:endnoteRef/>
      </w:r>
      <w:r>
        <w:t xml:space="preserve"> </w:t>
      </w:r>
      <w:r>
        <w:rPr>
          <w:i/>
          <w:iCs/>
        </w:rPr>
        <w:t>Olevik v. State</w:t>
      </w:r>
      <w:r>
        <w:t>, 302 Ga. 228 (2017).</w:t>
      </w:r>
    </w:p>
  </w:endnote>
  <w:endnote w:id="3">
    <w:p w14:paraId="48EFBF17" w14:textId="197305EA" w:rsidR="00FB017E" w:rsidRPr="00FB017E" w:rsidRDefault="00FB017E">
      <w:pPr>
        <w:pStyle w:val="EndnoteText"/>
      </w:pPr>
      <w:r>
        <w:rPr>
          <w:rStyle w:val="EndnoteReference"/>
        </w:rPr>
        <w:endnoteRef/>
      </w:r>
      <w:r>
        <w:t xml:space="preserve"> </w:t>
      </w:r>
      <w:r>
        <w:rPr>
          <w:i/>
          <w:iCs/>
        </w:rPr>
        <w:t>Davis v. State</w:t>
      </w:r>
      <w:r>
        <w:t>, 358 Ga. App. 832 (2021).</w:t>
      </w:r>
    </w:p>
  </w:endnote>
  <w:endnote w:id="4">
    <w:p w14:paraId="130DE38D" w14:textId="6278E87B" w:rsidR="00FB017E" w:rsidRPr="00FB017E" w:rsidRDefault="00FB017E">
      <w:pPr>
        <w:pStyle w:val="EndnoteText"/>
      </w:pPr>
      <w:r>
        <w:rPr>
          <w:rStyle w:val="EndnoteReference"/>
        </w:rPr>
        <w:endnoteRef/>
      </w:r>
      <w:r>
        <w:t xml:space="preserve"> </w:t>
      </w:r>
      <w:r>
        <w:rPr>
          <w:i/>
          <w:iCs/>
        </w:rPr>
        <w:t>Davis</w:t>
      </w:r>
      <w:r>
        <w:t>, at 837.</w:t>
      </w:r>
    </w:p>
  </w:endnote>
  <w:endnote w:id="5">
    <w:p w14:paraId="3888D0CE" w14:textId="40B40CC2" w:rsidR="00C533AB" w:rsidRDefault="00C533AB">
      <w:pPr>
        <w:pStyle w:val="EndnoteText"/>
      </w:pPr>
      <w:r>
        <w:rPr>
          <w:rStyle w:val="EndnoteReference"/>
        </w:rPr>
        <w:endnoteRef/>
      </w:r>
      <w:r>
        <w:t xml:space="preserve"> </w:t>
      </w:r>
      <w:r>
        <w:rPr>
          <w:i/>
          <w:iCs/>
        </w:rPr>
        <w:t>Davis v. State</w:t>
      </w:r>
      <w:r>
        <w:t xml:space="preserve">, 358 Ga. App. 832, 837 (2021), citing </w:t>
      </w:r>
      <w:r>
        <w:rPr>
          <w:i/>
          <w:iCs/>
        </w:rPr>
        <w:t>State v. Johnson</w:t>
      </w:r>
      <w:r>
        <w:t xml:space="preserve">, 354 Ga. App. 447, 454 (2020) and </w:t>
      </w:r>
      <w:r>
        <w:rPr>
          <w:i/>
          <w:iCs/>
        </w:rPr>
        <w:t>State v. Voyles</w:t>
      </w:r>
      <w:r>
        <w:t>, 355 Ga. App. 903, 904-905 (2020).</w:t>
      </w:r>
    </w:p>
  </w:endnote>
  <w:endnote w:id="6">
    <w:p w14:paraId="7A812664" w14:textId="0A9AF358" w:rsidR="00137D38" w:rsidRPr="00137D38" w:rsidRDefault="00137D38">
      <w:pPr>
        <w:pStyle w:val="EndnoteText"/>
      </w:pPr>
      <w:r>
        <w:rPr>
          <w:rStyle w:val="EndnoteReference"/>
        </w:rPr>
        <w:endnoteRef/>
      </w:r>
      <w:r>
        <w:t xml:space="preserve"> </w:t>
      </w:r>
      <w:r>
        <w:rPr>
          <w:i/>
          <w:iCs/>
        </w:rPr>
        <w:t>Awad v. State</w:t>
      </w:r>
      <w:r>
        <w:t>, 313 Ga. 99 (2022).</w:t>
      </w:r>
    </w:p>
  </w:endnote>
  <w:endnote w:id="7">
    <w:p w14:paraId="727F00FE" w14:textId="4DF8CFE3" w:rsidR="0061384A" w:rsidRPr="0061384A" w:rsidRDefault="0061384A">
      <w:pPr>
        <w:pStyle w:val="EndnoteText"/>
      </w:pPr>
      <w:r>
        <w:rPr>
          <w:rStyle w:val="EndnoteReference"/>
        </w:rPr>
        <w:endnoteRef/>
      </w:r>
      <w:r>
        <w:t xml:space="preserve"> </w:t>
      </w:r>
      <w:r>
        <w:rPr>
          <w:i/>
          <w:iCs/>
        </w:rPr>
        <w:t>Olevik</w:t>
      </w:r>
      <w:r>
        <w:t>, at 243.</w:t>
      </w:r>
    </w:p>
  </w:endnote>
  <w:endnote w:id="8">
    <w:p w14:paraId="28621A22" w14:textId="4329616B" w:rsidR="009328C3" w:rsidRPr="009328C3" w:rsidRDefault="009328C3">
      <w:pPr>
        <w:pStyle w:val="EndnoteText"/>
      </w:pPr>
      <w:r>
        <w:rPr>
          <w:rStyle w:val="EndnoteReference"/>
        </w:rPr>
        <w:endnoteRef/>
      </w:r>
      <w:r>
        <w:t xml:space="preserve"> </w:t>
      </w:r>
      <w:r>
        <w:rPr>
          <w:i/>
          <w:iCs/>
        </w:rPr>
        <w:t>State v. Randall</w:t>
      </w:r>
      <w:r>
        <w:t>, S22A0664 (Ga. 10/25/2022).</w:t>
      </w:r>
    </w:p>
  </w:endnote>
  <w:endnote w:id="9">
    <w:p w14:paraId="1F057D95" w14:textId="2E6B6E12" w:rsidR="00D56979" w:rsidRPr="00D56979" w:rsidRDefault="00D56979">
      <w:pPr>
        <w:pStyle w:val="EndnoteText"/>
      </w:pPr>
      <w:r>
        <w:rPr>
          <w:rStyle w:val="EndnoteReference"/>
        </w:rPr>
        <w:endnoteRef/>
      </w:r>
      <w:r>
        <w:t xml:space="preserve"> </w:t>
      </w:r>
      <w:r>
        <w:rPr>
          <w:i/>
          <w:iCs/>
        </w:rPr>
        <w:t>State v. Randall</w:t>
      </w:r>
      <w:r>
        <w:t>, pp. 6-7 of slip opinion.</w:t>
      </w:r>
    </w:p>
  </w:endnote>
  <w:endnote w:id="10">
    <w:p w14:paraId="780F2AB8" w14:textId="5699A2B0" w:rsidR="00542C25" w:rsidRPr="00542C25" w:rsidRDefault="00542C25">
      <w:pPr>
        <w:pStyle w:val="EndnoteText"/>
      </w:pPr>
      <w:r>
        <w:rPr>
          <w:rStyle w:val="EndnoteReference"/>
        </w:rPr>
        <w:endnoteRef/>
      </w:r>
      <w:r>
        <w:t xml:space="preserve"> In </w:t>
      </w:r>
      <w:r>
        <w:rPr>
          <w:i/>
          <w:iCs/>
        </w:rPr>
        <w:t>State v. Johnson</w:t>
      </w:r>
      <w:r>
        <w:t xml:space="preserve">, 354 Ga. App. 447, 454 (2020), the Court of Appeals noted that </w:t>
      </w:r>
      <w:r>
        <w:rPr>
          <w:i/>
          <w:iCs/>
        </w:rPr>
        <w:t>Birchfield v. North Dakota</w:t>
      </w:r>
      <w:r>
        <w:t>, 579 U.S. 438</w:t>
      </w:r>
      <w:r w:rsidR="00DA498B">
        <w:t>, 476-477 (2016), the US Supreme Court held, “</w:t>
      </w:r>
      <w:r w:rsidR="00DA498B" w:rsidRPr="00DA498B">
        <w:t xml:space="preserve">Our prior opinions have referred approvingly to the general concept of implied-consent laws that impose civil penalties and evidentiary consequences on motorists who refuse to comply. </w:t>
      </w:r>
      <w:r w:rsidR="00DA498B">
        <w:t xml:space="preserve">[cits omitted] </w:t>
      </w:r>
      <w:r w:rsidR="00DA498B" w:rsidRPr="00DA498B">
        <w:t>Petitioners do not question the constitutionality of those laws, and nothing we say here should be read to cast doubt on them.</w:t>
      </w:r>
      <w:r w:rsidR="00862974">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2B97" w14:textId="77777777" w:rsidR="003D0F81" w:rsidRDefault="00000000" w:rsidP="00C527D7">
    <w:pPr>
      <w:pStyle w:val="Footer"/>
      <w:tabs>
        <w:tab w:val="clear" w:pos="4680"/>
        <w:tab w:val="clear" w:pos="9360"/>
      </w:tabs>
      <w:jc w:val="center"/>
      <w:rPr>
        <w:b/>
        <w:bCs/>
        <w:sz w:val="20"/>
        <w:szCs w:val="20"/>
      </w:rPr>
    </w:pPr>
  </w:p>
  <w:p w14:paraId="647E1D70" w14:textId="54070E39" w:rsidR="003D0F81" w:rsidRDefault="00EB0240" w:rsidP="00C527D7">
    <w:pPr>
      <w:pStyle w:val="Footer"/>
      <w:tabs>
        <w:tab w:val="clear" w:pos="4680"/>
        <w:tab w:val="clear" w:pos="9360"/>
      </w:tabs>
      <w:jc w:val="center"/>
      <w:rPr>
        <w:b/>
        <w:bCs/>
        <w:sz w:val="20"/>
        <w:szCs w:val="20"/>
      </w:rPr>
    </w:pPr>
    <w:r>
      <w:rPr>
        <w:b/>
        <w:bCs/>
        <w:sz w:val="20"/>
        <w:szCs w:val="20"/>
      </w:rPr>
      <w:t>FLASH EPISODE-REFUSALS IN DUI CASES</w:t>
    </w:r>
    <w:r w:rsidR="001B3891">
      <w:rPr>
        <w:b/>
        <w:bCs/>
        <w:sz w:val="20"/>
        <w:szCs w:val="20"/>
      </w:rPr>
      <w:t xml:space="preserve"> - </w:t>
    </w:r>
    <w:r w:rsidR="001562CC">
      <w:rPr>
        <w:b/>
        <w:bCs/>
        <w:sz w:val="20"/>
        <w:szCs w:val="20"/>
      </w:rPr>
      <w:t xml:space="preserve"> EPISODE NOTES</w:t>
    </w:r>
  </w:p>
  <w:p w14:paraId="553C4CDE" w14:textId="4B204040" w:rsidR="003D0F81" w:rsidRPr="00DB0007" w:rsidRDefault="001562CC" w:rsidP="00C527D7">
    <w:pPr>
      <w:pStyle w:val="Footer"/>
      <w:tabs>
        <w:tab w:val="clear" w:pos="4680"/>
        <w:tab w:val="clear" w:pos="9360"/>
      </w:tabs>
      <w:jc w:val="center"/>
      <w:rPr>
        <w:b/>
        <w:bCs/>
        <w:sz w:val="20"/>
        <w:szCs w:val="20"/>
      </w:rPr>
    </w:pPr>
    <w:r>
      <w:rPr>
        <w:b/>
        <w:bCs/>
        <w:sz w:val="20"/>
        <w:szCs w:val="20"/>
      </w:rPr>
      <w:t xml:space="preserve">RECORDED </w:t>
    </w:r>
    <w:r w:rsidR="009B42AB">
      <w:rPr>
        <w:b/>
        <w:bCs/>
        <w:sz w:val="20"/>
        <w:szCs w:val="20"/>
      </w:rPr>
      <w:t>10/28</w:t>
    </w:r>
    <w:r>
      <w:rPr>
        <w:b/>
        <w:bCs/>
        <w:sz w:val="20"/>
        <w:szCs w:val="20"/>
      </w:rPr>
      <w:t>/2022</w:t>
    </w:r>
  </w:p>
  <w:p w14:paraId="055DD22B" w14:textId="77777777" w:rsidR="003D0F81" w:rsidRDefault="001562CC"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7B547636" w14:textId="77777777" w:rsidR="003D0F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71CC" w14:textId="77777777" w:rsidR="005259D9" w:rsidRDefault="005259D9" w:rsidP="00A52F35">
      <w:pPr>
        <w:spacing w:line="240" w:lineRule="auto"/>
      </w:pPr>
      <w:r>
        <w:separator/>
      </w:r>
    </w:p>
  </w:footnote>
  <w:footnote w:type="continuationSeparator" w:id="0">
    <w:p w14:paraId="2E03B8E2" w14:textId="77777777" w:rsidR="005259D9" w:rsidRDefault="005259D9" w:rsidP="00A52F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02" style="width:0;height:1.5pt" o:hralign="center" o:bullet="t" o:hrstd="t" o:hr="t" fillcolor="#a0a0a0" stroked="f"/>
    </w:pict>
  </w:numPicBullet>
  <w:numPicBullet w:numPicBulletId="1">
    <w:pict>
      <v:rect id="_x0000_i1103" style="width:0;height:1.5pt" o:hralign="center" o:bullet="t" o:hrstd="t" o:hr="t" fillcolor="#a0a0a0" stroked="f"/>
    </w:pict>
  </w:numPicBullet>
  <w:numPicBullet w:numPicBulletId="2">
    <w:pict>
      <v:rect id="_x0000_i1104" style="width:0;height:1.5pt" o:hralign="center" o:bullet="t" o:hrstd="t" o:hr="t" fillcolor="#a0a0a0" stroked="f"/>
    </w:pict>
  </w:numPicBullet>
  <w:numPicBullet w:numPicBulletId="3">
    <w:pict>
      <v:rect id="_x0000_i1105" style="width:0;height:1.5pt" o:hralign="center" o:bullet="t" o:hrstd="t" o:hr="t" fillcolor="#a0a0a0" stroked="f"/>
    </w:pict>
  </w:numPicBullet>
  <w:abstractNum w:abstractNumId="0" w15:restartNumberingAfterBreak="0">
    <w:nsid w:val="0CA12C44"/>
    <w:multiLevelType w:val="hybridMultilevel"/>
    <w:tmpl w:val="579C526C"/>
    <w:lvl w:ilvl="0" w:tplc="75469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70608"/>
    <w:multiLevelType w:val="multilevel"/>
    <w:tmpl w:val="8DDCCF54"/>
    <w:lvl w:ilvl="0">
      <w:start w:val="1"/>
      <w:numFmt w:val="decimal"/>
      <w:lvlText w:val="%1)"/>
      <w:lvlJc w:val="left"/>
      <w:pPr>
        <w:ind w:left="360" w:hanging="360"/>
      </w:pPr>
      <w:rPr>
        <w:b/>
        <w:bCs w:val="0"/>
      </w:rPr>
    </w:lvl>
    <w:lvl w:ilvl="1">
      <w:start w:val="1"/>
      <w:numFmt w:val="lowerLetter"/>
      <w:lvlText w:val="%2)"/>
      <w:lvlJc w:val="left"/>
      <w:pPr>
        <w:ind w:left="720" w:hanging="360"/>
      </w:pPr>
      <w:rPr>
        <w:b/>
        <w:bCs w:val="0"/>
      </w:rPr>
    </w:lvl>
    <w:lvl w:ilvl="2">
      <w:start w:val="1"/>
      <w:numFmt w:val="decimal"/>
      <w:lvlText w:val="%3."/>
      <w:lvlJc w:val="right"/>
      <w:pPr>
        <w:ind w:left="1080" w:hanging="360"/>
      </w:pPr>
      <w:rPr>
        <w:rFonts w:hint="default"/>
        <w:b/>
        <w:bCs w:val="0"/>
      </w:rPr>
    </w:lvl>
    <w:lvl w:ilvl="3">
      <w:start w:val="1"/>
      <w:numFmt w:val="lowerRoman"/>
      <w:lvlText w:val="%4."/>
      <w:lvlJc w:val="right"/>
      <w:pPr>
        <w:ind w:left="1440" w:hanging="360"/>
      </w:pPr>
      <w:rPr>
        <w:rFonts w:hint="default"/>
        <w:b/>
        <w:i w:val="0"/>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B9505A4"/>
    <w:multiLevelType w:val="hybridMultilevel"/>
    <w:tmpl w:val="371A4E50"/>
    <w:lvl w:ilvl="0" w:tplc="AB36AB6A">
      <w:start w:val="1"/>
      <w:numFmt w:val="bullet"/>
      <w:lvlText w:val=""/>
      <w:lvlPicBulletId w:val="2"/>
      <w:lvlJc w:val="left"/>
      <w:pPr>
        <w:tabs>
          <w:tab w:val="num" w:pos="720"/>
        </w:tabs>
        <w:ind w:left="720" w:hanging="360"/>
      </w:pPr>
      <w:rPr>
        <w:rFonts w:ascii="Symbol" w:hAnsi="Symbol" w:hint="default"/>
      </w:rPr>
    </w:lvl>
    <w:lvl w:ilvl="1" w:tplc="AFA629E8" w:tentative="1">
      <w:start w:val="1"/>
      <w:numFmt w:val="bullet"/>
      <w:lvlText w:val=""/>
      <w:lvlJc w:val="left"/>
      <w:pPr>
        <w:tabs>
          <w:tab w:val="num" w:pos="1440"/>
        </w:tabs>
        <w:ind w:left="1440" w:hanging="360"/>
      </w:pPr>
      <w:rPr>
        <w:rFonts w:ascii="Symbol" w:hAnsi="Symbol" w:hint="default"/>
      </w:rPr>
    </w:lvl>
    <w:lvl w:ilvl="2" w:tplc="1D12A5BE" w:tentative="1">
      <w:start w:val="1"/>
      <w:numFmt w:val="bullet"/>
      <w:lvlText w:val=""/>
      <w:lvlJc w:val="left"/>
      <w:pPr>
        <w:tabs>
          <w:tab w:val="num" w:pos="2160"/>
        </w:tabs>
        <w:ind w:left="2160" w:hanging="360"/>
      </w:pPr>
      <w:rPr>
        <w:rFonts w:ascii="Symbol" w:hAnsi="Symbol" w:hint="default"/>
      </w:rPr>
    </w:lvl>
    <w:lvl w:ilvl="3" w:tplc="D842E392" w:tentative="1">
      <w:start w:val="1"/>
      <w:numFmt w:val="bullet"/>
      <w:lvlText w:val=""/>
      <w:lvlJc w:val="left"/>
      <w:pPr>
        <w:tabs>
          <w:tab w:val="num" w:pos="2880"/>
        </w:tabs>
        <w:ind w:left="2880" w:hanging="360"/>
      </w:pPr>
      <w:rPr>
        <w:rFonts w:ascii="Symbol" w:hAnsi="Symbol" w:hint="default"/>
      </w:rPr>
    </w:lvl>
    <w:lvl w:ilvl="4" w:tplc="DB1A02C4" w:tentative="1">
      <w:start w:val="1"/>
      <w:numFmt w:val="bullet"/>
      <w:lvlText w:val=""/>
      <w:lvlJc w:val="left"/>
      <w:pPr>
        <w:tabs>
          <w:tab w:val="num" w:pos="3600"/>
        </w:tabs>
        <w:ind w:left="3600" w:hanging="360"/>
      </w:pPr>
      <w:rPr>
        <w:rFonts w:ascii="Symbol" w:hAnsi="Symbol" w:hint="default"/>
      </w:rPr>
    </w:lvl>
    <w:lvl w:ilvl="5" w:tplc="906A9F06" w:tentative="1">
      <w:start w:val="1"/>
      <w:numFmt w:val="bullet"/>
      <w:lvlText w:val=""/>
      <w:lvlJc w:val="left"/>
      <w:pPr>
        <w:tabs>
          <w:tab w:val="num" w:pos="4320"/>
        </w:tabs>
        <w:ind w:left="4320" w:hanging="360"/>
      </w:pPr>
      <w:rPr>
        <w:rFonts w:ascii="Symbol" w:hAnsi="Symbol" w:hint="default"/>
      </w:rPr>
    </w:lvl>
    <w:lvl w:ilvl="6" w:tplc="27AEC86E" w:tentative="1">
      <w:start w:val="1"/>
      <w:numFmt w:val="bullet"/>
      <w:lvlText w:val=""/>
      <w:lvlJc w:val="left"/>
      <w:pPr>
        <w:tabs>
          <w:tab w:val="num" w:pos="5040"/>
        </w:tabs>
        <w:ind w:left="5040" w:hanging="360"/>
      </w:pPr>
      <w:rPr>
        <w:rFonts w:ascii="Symbol" w:hAnsi="Symbol" w:hint="default"/>
      </w:rPr>
    </w:lvl>
    <w:lvl w:ilvl="7" w:tplc="D0BC3792" w:tentative="1">
      <w:start w:val="1"/>
      <w:numFmt w:val="bullet"/>
      <w:lvlText w:val=""/>
      <w:lvlJc w:val="left"/>
      <w:pPr>
        <w:tabs>
          <w:tab w:val="num" w:pos="5760"/>
        </w:tabs>
        <w:ind w:left="5760" w:hanging="360"/>
      </w:pPr>
      <w:rPr>
        <w:rFonts w:ascii="Symbol" w:hAnsi="Symbol" w:hint="default"/>
      </w:rPr>
    </w:lvl>
    <w:lvl w:ilvl="8" w:tplc="3D52035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00C7082"/>
    <w:multiLevelType w:val="hybridMultilevel"/>
    <w:tmpl w:val="3E046ABA"/>
    <w:lvl w:ilvl="0" w:tplc="4EB6F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177683"/>
    <w:multiLevelType w:val="multilevel"/>
    <w:tmpl w:val="CBB6B62E"/>
    <w:lvl w:ilvl="0">
      <w:start w:val="1"/>
      <w:numFmt w:val="upperRoman"/>
      <w:lvlText w:val="Section %1:"/>
      <w:lvlJc w:val="left"/>
      <w:pPr>
        <w:ind w:left="720" w:hanging="720"/>
      </w:pPr>
      <w:rPr>
        <w:rFonts w:ascii="Times New Roman Bold" w:hAnsi="Times New Roman Bold" w:hint="default"/>
        <w:b/>
        <w:i w:val="0"/>
        <w:color w:val="auto"/>
        <w:sz w:val="32"/>
        <w:szCs w:val="24"/>
      </w:rPr>
    </w:lvl>
    <w:lvl w:ilvl="1">
      <w:start w:val="1"/>
      <w:numFmt w:val="decimal"/>
      <w:lvlText w:val="%2)"/>
      <w:lvlJc w:val="right"/>
      <w:pPr>
        <w:ind w:left="720" w:hanging="432"/>
      </w:pPr>
      <w:rPr>
        <w:rFonts w:ascii="Times New Roman Bold" w:hAnsi="Times New Roman Bold" w:cs="Arial" w:hint="default"/>
        <w:b/>
        <w:i w:val="0"/>
        <w:color w:val="auto"/>
        <w:sz w:val="28"/>
        <w:szCs w:val="24"/>
        <w:vertAlign w:val="baseline"/>
      </w:rPr>
    </w:lvl>
    <w:lvl w:ilvl="2">
      <w:start w:val="1"/>
      <w:numFmt w:val="lowerLetter"/>
      <w:lvlText w:val="%3)"/>
      <w:lvlJc w:val="right"/>
      <w:pPr>
        <w:ind w:left="1080" w:hanging="360"/>
      </w:pPr>
      <w:rPr>
        <w:rFonts w:ascii="Times New Roman Bold" w:hAnsi="Times New Roman Bold" w:hint="default"/>
        <w:b/>
        <w:i w:val="0"/>
        <w:color w:val="auto"/>
        <w:sz w:val="28"/>
        <w:szCs w:val="24"/>
        <w:vertAlign w:val="baseline"/>
      </w:rPr>
    </w:lvl>
    <w:lvl w:ilvl="3">
      <w:start w:val="1"/>
      <w:numFmt w:val="lowerRoman"/>
      <w:lvlText w:val="(%4)"/>
      <w:lvlJc w:val="right"/>
      <w:pPr>
        <w:ind w:left="1440" w:hanging="360"/>
      </w:pPr>
      <w:rPr>
        <w:rFonts w:ascii="Times New Roman Bold" w:hAnsi="Times New Roman Bold" w:hint="default"/>
        <w:b/>
        <w:i w:val="0"/>
        <w:color w:val="auto"/>
        <w:sz w:val="28"/>
        <w:szCs w:val="24"/>
      </w:rPr>
    </w:lvl>
    <w:lvl w:ilvl="4">
      <w:start w:val="1"/>
      <w:numFmt w:val="decimal"/>
      <w:lvlText w:val="(%5)"/>
      <w:lvlJc w:val="right"/>
      <w:pPr>
        <w:ind w:left="1800" w:hanging="360"/>
      </w:pPr>
      <w:rPr>
        <w:rFonts w:ascii="Times New Roman Bold" w:hAnsi="Times New Roman Bold" w:hint="default"/>
        <w:b/>
        <w:i w:val="0"/>
        <w:color w:val="auto"/>
        <w:sz w:val="28"/>
      </w:rPr>
    </w:lvl>
    <w:lvl w:ilvl="5">
      <w:start w:val="1"/>
      <w:numFmt w:val="upperLetter"/>
      <w:lvlText w:val="(%6)"/>
      <w:lvlJc w:val="right"/>
      <w:pPr>
        <w:ind w:left="2160" w:hanging="360"/>
      </w:pPr>
      <w:rPr>
        <w:rFonts w:ascii="Times New Roman Bold" w:hAnsi="Times New Roman Bold" w:hint="default"/>
        <w:b/>
        <w:i w:val="0"/>
        <w:color w:val="auto"/>
        <w:sz w:val="28"/>
      </w:rPr>
    </w:lvl>
    <w:lvl w:ilvl="6">
      <w:start w:val="1"/>
      <w:numFmt w:val="decimal"/>
      <w:lvlText w:val="%7)"/>
      <w:lvlJc w:val="right"/>
      <w:pPr>
        <w:ind w:left="3240" w:hanging="360"/>
      </w:pPr>
      <w:rPr>
        <w:rFonts w:ascii="Times New Roman Bold" w:hAnsi="Times New Roman Bold" w:cs="Times New Roman" w:hint="default"/>
        <w:b/>
        <w:i w:val="0"/>
        <w:color w:val="auto"/>
        <w:sz w:val="28"/>
      </w:rPr>
    </w:lvl>
    <w:lvl w:ilvl="7">
      <w:start w:val="1"/>
      <w:numFmt w:val="lowerLetter"/>
      <w:lvlText w:val="%8."/>
      <w:lvlJc w:val="left"/>
      <w:pPr>
        <w:ind w:left="3744" w:hanging="432"/>
      </w:pPr>
      <w:rPr>
        <w:rFonts w:hint="default"/>
      </w:rPr>
    </w:lvl>
    <w:lvl w:ilvl="8">
      <w:start w:val="1"/>
      <w:numFmt w:val="lowerRoman"/>
      <w:lvlText w:val="%9."/>
      <w:lvlJc w:val="left"/>
      <w:pPr>
        <w:ind w:left="4176" w:hanging="432"/>
      </w:pPr>
      <w:rPr>
        <w:rFonts w:hint="default"/>
      </w:rPr>
    </w:lvl>
  </w:abstractNum>
  <w:num w:numId="1" w16cid:durableId="737361280">
    <w:abstractNumId w:val="4"/>
  </w:num>
  <w:num w:numId="2" w16cid:durableId="516770339">
    <w:abstractNumId w:val="0"/>
  </w:num>
  <w:num w:numId="3" w16cid:durableId="1672216630">
    <w:abstractNumId w:val="2"/>
  </w:num>
  <w:num w:numId="4" w16cid:durableId="1785076624">
    <w:abstractNumId w:val="3"/>
  </w:num>
  <w:num w:numId="5" w16cid:durableId="441340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D3"/>
    <w:rsid w:val="00024008"/>
    <w:rsid w:val="00045838"/>
    <w:rsid w:val="00053183"/>
    <w:rsid w:val="00063AF3"/>
    <w:rsid w:val="000B3423"/>
    <w:rsid w:val="000C446F"/>
    <w:rsid w:val="0010409A"/>
    <w:rsid w:val="00112051"/>
    <w:rsid w:val="00137D38"/>
    <w:rsid w:val="00141301"/>
    <w:rsid w:val="001562CC"/>
    <w:rsid w:val="00156D40"/>
    <w:rsid w:val="001B3891"/>
    <w:rsid w:val="001E223E"/>
    <w:rsid w:val="001E6C37"/>
    <w:rsid w:val="001F73BD"/>
    <w:rsid w:val="0023015A"/>
    <w:rsid w:val="002358D9"/>
    <w:rsid w:val="00250794"/>
    <w:rsid w:val="002521F1"/>
    <w:rsid w:val="002543EF"/>
    <w:rsid w:val="002708B0"/>
    <w:rsid w:val="002C3EBC"/>
    <w:rsid w:val="002D73D0"/>
    <w:rsid w:val="002E0E05"/>
    <w:rsid w:val="002E356A"/>
    <w:rsid w:val="002E39FC"/>
    <w:rsid w:val="002F196F"/>
    <w:rsid w:val="003842AF"/>
    <w:rsid w:val="003A43D9"/>
    <w:rsid w:val="003F7982"/>
    <w:rsid w:val="00425248"/>
    <w:rsid w:val="0042615D"/>
    <w:rsid w:val="00436BC0"/>
    <w:rsid w:val="004409D3"/>
    <w:rsid w:val="00441771"/>
    <w:rsid w:val="004514E9"/>
    <w:rsid w:val="00471E6F"/>
    <w:rsid w:val="004C28D9"/>
    <w:rsid w:val="004D5C04"/>
    <w:rsid w:val="004F2279"/>
    <w:rsid w:val="0052598B"/>
    <w:rsid w:val="005259D9"/>
    <w:rsid w:val="0053249A"/>
    <w:rsid w:val="00542C25"/>
    <w:rsid w:val="00553437"/>
    <w:rsid w:val="00555CD3"/>
    <w:rsid w:val="00562A35"/>
    <w:rsid w:val="00566D78"/>
    <w:rsid w:val="005725FA"/>
    <w:rsid w:val="00573E68"/>
    <w:rsid w:val="005A0657"/>
    <w:rsid w:val="005B72B0"/>
    <w:rsid w:val="005C3462"/>
    <w:rsid w:val="005D4D9F"/>
    <w:rsid w:val="0061384A"/>
    <w:rsid w:val="0061670A"/>
    <w:rsid w:val="00633CCD"/>
    <w:rsid w:val="0063714F"/>
    <w:rsid w:val="006536D1"/>
    <w:rsid w:val="00661E14"/>
    <w:rsid w:val="00674A33"/>
    <w:rsid w:val="006B19E1"/>
    <w:rsid w:val="006B3477"/>
    <w:rsid w:val="006E3884"/>
    <w:rsid w:val="00703656"/>
    <w:rsid w:val="007356DF"/>
    <w:rsid w:val="007969F6"/>
    <w:rsid w:val="007A1271"/>
    <w:rsid w:val="007A5FEE"/>
    <w:rsid w:val="007E21A4"/>
    <w:rsid w:val="007F7D58"/>
    <w:rsid w:val="00837697"/>
    <w:rsid w:val="00862974"/>
    <w:rsid w:val="00887092"/>
    <w:rsid w:val="008A352B"/>
    <w:rsid w:val="008B5B56"/>
    <w:rsid w:val="008E5841"/>
    <w:rsid w:val="008F22C8"/>
    <w:rsid w:val="009047D5"/>
    <w:rsid w:val="009320E9"/>
    <w:rsid w:val="009328C3"/>
    <w:rsid w:val="0098464C"/>
    <w:rsid w:val="00986816"/>
    <w:rsid w:val="009B42AB"/>
    <w:rsid w:val="009E786C"/>
    <w:rsid w:val="00A11B17"/>
    <w:rsid w:val="00A11F70"/>
    <w:rsid w:val="00A52F35"/>
    <w:rsid w:val="00A57561"/>
    <w:rsid w:val="00A65A34"/>
    <w:rsid w:val="00A978B0"/>
    <w:rsid w:val="00AC4859"/>
    <w:rsid w:val="00B61209"/>
    <w:rsid w:val="00BE35E7"/>
    <w:rsid w:val="00C40EA8"/>
    <w:rsid w:val="00C432DF"/>
    <w:rsid w:val="00C533AB"/>
    <w:rsid w:val="00C73794"/>
    <w:rsid w:val="00C9333B"/>
    <w:rsid w:val="00D023EA"/>
    <w:rsid w:val="00D3286B"/>
    <w:rsid w:val="00D51877"/>
    <w:rsid w:val="00D56882"/>
    <w:rsid w:val="00D56979"/>
    <w:rsid w:val="00D674B8"/>
    <w:rsid w:val="00D67C29"/>
    <w:rsid w:val="00D972A9"/>
    <w:rsid w:val="00DA2157"/>
    <w:rsid w:val="00DA498B"/>
    <w:rsid w:val="00DC0AA6"/>
    <w:rsid w:val="00DC24DA"/>
    <w:rsid w:val="00DC7205"/>
    <w:rsid w:val="00DE1E26"/>
    <w:rsid w:val="00E33651"/>
    <w:rsid w:val="00E40BE2"/>
    <w:rsid w:val="00EB0240"/>
    <w:rsid w:val="00ED08FC"/>
    <w:rsid w:val="00EE63A4"/>
    <w:rsid w:val="00F0409E"/>
    <w:rsid w:val="00F62034"/>
    <w:rsid w:val="00F635BA"/>
    <w:rsid w:val="00F901DB"/>
    <w:rsid w:val="00F937CC"/>
    <w:rsid w:val="00FB017E"/>
    <w:rsid w:val="00FB0235"/>
    <w:rsid w:val="00FC4D1C"/>
    <w:rsid w:val="00FC6364"/>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70CB"/>
  <w15:chartTrackingRefBased/>
  <w15:docId w15:val="{7CADD9EF-B7C6-4FB7-B26D-FA013D2E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9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1B17"/>
    <w:pPr>
      <w:spacing w:after="0" w:line="360" w:lineRule="auto"/>
    </w:pPr>
    <w:rPr>
      <w:rFonts w:ascii="Times New Roman" w:hAnsi="Times New Roman"/>
      <w:sz w:val="24"/>
      <w:szCs w:val="24"/>
    </w:rPr>
  </w:style>
  <w:style w:type="paragraph" w:styleId="Heading1">
    <w:name w:val="heading 1"/>
    <w:basedOn w:val="Normal"/>
    <w:next w:val="Normal"/>
    <w:link w:val="Heading1Char"/>
    <w:uiPriority w:val="9"/>
    <w:qFormat/>
    <w:rsid w:val="00A65A34"/>
    <w:pPr>
      <w:keepNext/>
      <w:keepLines/>
      <w:spacing w:before="240" w:after="240" w:line="240" w:lineRule="auto"/>
      <w:jc w:val="center"/>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A65A34"/>
    <w:pPr>
      <w:keepNext/>
      <w:keepLines/>
      <w:spacing w:before="120" w:after="120"/>
      <w:jc w:val="center"/>
      <w:outlineLvl w:val="1"/>
    </w:pPr>
    <w:rPr>
      <w:rFonts w:eastAsiaTheme="majorEastAsia"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0"/>
    <w:qFormat/>
    <w:rsid w:val="00555CD3"/>
    <w:pPr>
      <w:spacing w:after="120"/>
      <w:ind w:left="432" w:hanging="432"/>
    </w:pPr>
    <w:rPr>
      <w:szCs w:val="20"/>
    </w:rPr>
  </w:style>
  <w:style w:type="character" w:customStyle="1" w:styleId="EndnoteTextChar">
    <w:name w:val="Endnote Text Char"/>
    <w:basedOn w:val="DefaultParagraphFont"/>
    <w:link w:val="EndnoteText"/>
    <w:uiPriority w:val="90"/>
    <w:rsid w:val="00555CD3"/>
    <w:rPr>
      <w:rFonts w:ascii="Times New Roman" w:hAnsi="Times New Roman"/>
      <w:sz w:val="24"/>
      <w:szCs w:val="20"/>
    </w:rPr>
  </w:style>
  <w:style w:type="character" w:styleId="EndnoteReference">
    <w:name w:val="endnote reference"/>
    <w:basedOn w:val="DefaultParagraphFont"/>
    <w:unhideWhenUsed/>
    <w:qFormat/>
    <w:rsid w:val="008F22C8"/>
    <w:rPr>
      <w:rFonts w:ascii="Times New Roman Bold" w:hAnsi="Times New Roman Bold"/>
      <w:b/>
      <w:color w:val="auto"/>
      <w:sz w:val="24"/>
      <w:vertAlign w:val="superscript"/>
    </w:rPr>
  </w:style>
  <w:style w:type="paragraph" w:styleId="Quote">
    <w:name w:val="Quote"/>
    <w:basedOn w:val="Normal"/>
    <w:next w:val="Normal"/>
    <w:link w:val="QuoteChar"/>
    <w:uiPriority w:val="29"/>
    <w:qFormat/>
    <w:rsid w:val="00FF3D82"/>
    <w:pPr>
      <w:spacing w:before="120" w:after="120" w:line="240" w:lineRule="auto"/>
      <w:ind w:left="720" w:right="720"/>
    </w:pPr>
    <w:rPr>
      <w:iCs/>
    </w:rPr>
  </w:style>
  <w:style w:type="character" w:customStyle="1" w:styleId="QuoteChar">
    <w:name w:val="Quote Char"/>
    <w:basedOn w:val="DefaultParagraphFont"/>
    <w:link w:val="Quote"/>
    <w:uiPriority w:val="29"/>
    <w:rsid w:val="00FF3D82"/>
    <w:rPr>
      <w:rFonts w:ascii="Times New Roman" w:hAnsi="Times New Roman"/>
      <w:iCs/>
      <w:sz w:val="24"/>
    </w:rPr>
  </w:style>
  <w:style w:type="paragraph" w:customStyle="1" w:styleId="LegalQuote">
    <w:name w:val="Legal Quote"/>
    <w:basedOn w:val="Normal"/>
    <w:qFormat/>
    <w:rsid w:val="00562A35"/>
    <w:pPr>
      <w:spacing w:before="240" w:after="240" w:line="240" w:lineRule="auto"/>
      <w:ind w:left="720" w:right="720"/>
    </w:pPr>
    <w:rPr>
      <w:rFonts w:cstheme="minorHAnsi"/>
      <w:bCs/>
      <w:szCs w:val="28"/>
    </w:rPr>
  </w:style>
  <w:style w:type="paragraph" w:customStyle="1" w:styleId="Legalquote0">
    <w:name w:val="Legal quote"/>
    <w:basedOn w:val="Normal"/>
    <w:qFormat/>
    <w:rsid w:val="005725FA"/>
    <w:pPr>
      <w:spacing w:before="120" w:after="240" w:line="240" w:lineRule="auto"/>
      <w:ind w:left="720" w:right="720"/>
    </w:pPr>
    <w:rPr>
      <w:rFonts w:eastAsia="Arial"/>
    </w:rPr>
  </w:style>
  <w:style w:type="character" w:customStyle="1" w:styleId="Heading1Char">
    <w:name w:val="Heading 1 Char"/>
    <w:basedOn w:val="DefaultParagraphFont"/>
    <w:link w:val="Heading1"/>
    <w:uiPriority w:val="9"/>
    <w:rsid w:val="00A65A34"/>
    <w:rPr>
      <w:rFonts w:ascii="Times New Roman" w:eastAsiaTheme="majorEastAsia" w:hAnsi="Times New Roman" w:cstheme="majorBidi"/>
      <w:b/>
      <w:sz w:val="32"/>
      <w:szCs w:val="32"/>
      <w:u w:val="single"/>
    </w:rPr>
  </w:style>
  <w:style w:type="character" w:customStyle="1" w:styleId="Heading2Char">
    <w:name w:val="Heading 2 Char"/>
    <w:basedOn w:val="DefaultParagraphFont"/>
    <w:link w:val="Heading2"/>
    <w:uiPriority w:val="9"/>
    <w:rsid w:val="00A65A34"/>
    <w:rPr>
      <w:rFonts w:ascii="Times New Roman" w:eastAsiaTheme="majorEastAsia" w:hAnsi="Times New Roman" w:cstheme="majorBidi"/>
      <w:b/>
      <w:sz w:val="26"/>
      <w:szCs w:val="26"/>
      <w:u w:val="single"/>
    </w:rPr>
  </w:style>
  <w:style w:type="character" w:styleId="FootnoteReference">
    <w:name w:val="footnote reference"/>
    <w:basedOn w:val="DefaultParagraphFont"/>
    <w:uiPriority w:val="99"/>
    <w:semiHidden/>
    <w:unhideWhenUsed/>
    <w:rsid w:val="008F22C8"/>
    <w:rPr>
      <w:rFonts w:ascii="Times New Roman" w:hAnsi="Times New Roman"/>
      <w:b/>
      <w:sz w:val="24"/>
      <w:vertAlign w:val="superscript"/>
    </w:rPr>
  </w:style>
  <w:style w:type="paragraph" w:styleId="Header">
    <w:name w:val="header"/>
    <w:basedOn w:val="Normal"/>
    <w:link w:val="HeaderChar"/>
    <w:uiPriority w:val="99"/>
    <w:unhideWhenUsed/>
    <w:rsid w:val="00555CD3"/>
    <w:pPr>
      <w:tabs>
        <w:tab w:val="center" w:pos="4680"/>
        <w:tab w:val="right" w:pos="9360"/>
      </w:tabs>
      <w:spacing w:line="240" w:lineRule="auto"/>
    </w:pPr>
    <w:rPr>
      <w:sz w:val="22"/>
      <w:szCs w:val="22"/>
    </w:rPr>
  </w:style>
  <w:style w:type="character" w:customStyle="1" w:styleId="HeaderChar">
    <w:name w:val="Header Char"/>
    <w:basedOn w:val="DefaultParagraphFont"/>
    <w:link w:val="Header"/>
    <w:uiPriority w:val="99"/>
    <w:rsid w:val="00555CD3"/>
    <w:rPr>
      <w:rFonts w:ascii="Times New Roman" w:hAnsi="Times New Roman"/>
    </w:rPr>
  </w:style>
  <w:style w:type="paragraph" w:styleId="Footer">
    <w:name w:val="footer"/>
    <w:basedOn w:val="Normal"/>
    <w:link w:val="FooterChar"/>
    <w:uiPriority w:val="99"/>
    <w:unhideWhenUsed/>
    <w:rsid w:val="00555CD3"/>
    <w:pPr>
      <w:tabs>
        <w:tab w:val="center" w:pos="4680"/>
        <w:tab w:val="right" w:pos="9360"/>
      </w:tabs>
      <w:spacing w:line="240" w:lineRule="auto"/>
    </w:pPr>
    <w:rPr>
      <w:sz w:val="22"/>
      <w:szCs w:val="22"/>
    </w:rPr>
  </w:style>
  <w:style w:type="character" w:customStyle="1" w:styleId="FooterChar">
    <w:name w:val="Footer Char"/>
    <w:basedOn w:val="DefaultParagraphFont"/>
    <w:link w:val="Footer"/>
    <w:uiPriority w:val="99"/>
    <w:rsid w:val="00555CD3"/>
    <w:rPr>
      <w:rFonts w:ascii="Times New Roman" w:hAnsi="Times New Roman"/>
    </w:rPr>
  </w:style>
  <w:style w:type="character" w:styleId="Hyperlink">
    <w:name w:val="Hyperlink"/>
    <w:basedOn w:val="DefaultParagraphFont"/>
    <w:uiPriority w:val="99"/>
    <w:unhideWhenUsed/>
    <w:rsid w:val="00553437"/>
    <w:rPr>
      <w:color w:val="0563C1" w:themeColor="hyperlink"/>
      <w:u w:val="single"/>
    </w:rPr>
  </w:style>
  <w:style w:type="character" w:styleId="UnresolvedMention">
    <w:name w:val="Unresolved Mention"/>
    <w:basedOn w:val="DefaultParagraphFont"/>
    <w:uiPriority w:val="99"/>
    <w:semiHidden/>
    <w:unhideWhenUsed/>
    <w:rsid w:val="00553437"/>
    <w:rPr>
      <w:color w:val="605E5C"/>
      <w:shd w:val="clear" w:color="auto" w:fill="E1DFDD"/>
    </w:rPr>
  </w:style>
  <w:style w:type="paragraph" w:styleId="ListParagraph">
    <w:name w:val="List Paragraph"/>
    <w:basedOn w:val="Normal"/>
    <w:uiPriority w:val="34"/>
    <w:qFormat/>
    <w:rsid w:val="00EE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FB39-9203-4851-9AAE-0AF46B1C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13</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4</cp:revision>
  <dcterms:created xsi:type="dcterms:W3CDTF">2022-10-27T22:01:00Z</dcterms:created>
  <dcterms:modified xsi:type="dcterms:W3CDTF">2022-10-28T14:29:00Z</dcterms:modified>
</cp:coreProperties>
</file>