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599833A0" w:rsidR="00555CD3" w:rsidRPr="00555CD3" w:rsidRDefault="001456D7" w:rsidP="009B42AB">
      <w:pPr>
        <w:keepNext/>
        <w:spacing w:after="200" w:line="480" w:lineRule="auto"/>
        <w:jc w:val="center"/>
        <w:rPr>
          <w:rFonts w:eastAsia="Times New Roman" w:cs="Times New Roman"/>
          <w:b/>
          <w:sz w:val="28"/>
          <w:szCs w:val="28"/>
        </w:rPr>
      </w:pPr>
      <w:bookmarkStart w:id="0" w:name="_Hlk111203407"/>
      <w:r w:rsidRPr="008617E8">
        <w:rPr>
          <w:rFonts w:eastAsia="Times New Roman" w:cs="Times New Roman"/>
          <w:b/>
          <w:i/>
          <w:iCs/>
          <w:sz w:val="28"/>
          <w:szCs w:val="28"/>
        </w:rPr>
        <w:t>JOHNSON v. STATE</w:t>
      </w:r>
      <w:r>
        <w:rPr>
          <w:rFonts w:eastAsia="Times New Roman" w:cs="Times New Roman"/>
          <w:b/>
          <w:sz w:val="28"/>
          <w:szCs w:val="28"/>
        </w:rPr>
        <w:t xml:space="preserve"> – HYBRID REPRESENTATION</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518578DF" w:rsidR="00F0409E" w:rsidRDefault="003F7350" w:rsidP="00555CD3">
      <w:pPr>
        <w:spacing w:after="200" w:line="480" w:lineRule="auto"/>
        <w:rPr>
          <w:rFonts w:eastAsia="Times New Roman" w:cs="Times New Roman"/>
          <w:bCs/>
          <w:sz w:val="28"/>
          <w:szCs w:val="28"/>
        </w:rPr>
      </w:pPr>
      <w:r>
        <w:rPr>
          <w:rFonts w:eastAsia="Times New Roman" w:cs="Times New Roman"/>
          <w:bCs/>
          <w:sz w:val="28"/>
          <w:szCs w:val="28"/>
        </w:rPr>
        <w:t>Today we are going to discuss a specific recent appellate decision and the larger body of law behind that decision</w:t>
      </w:r>
    </w:p>
    <w:p w14:paraId="67F308E0" w14:textId="7BCE9AAD" w:rsidR="00A23CEE" w:rsidRDefault="003F7350"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Here at the Good Judge-Ment Podcast, we are always looking for ways to share the latest appellate decisions in a way that is beneficial to our listeners.  Today is just another one of those examples.  </w:t>
      </w:r>
    </w:p>
    <w:p w14:paraId="4941070A" w14:textId="7C1C6291" w:rsidR="00102EA6" w:rsidRPr="003F7350" w:rsidRDefault="003F7350"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the decision from the Georgia Supreme Court in </w:t>
      </w:r>
      <w:r>
        <w:rPr>
          <w:rFonts w:eastAsia="Times New Roman" w:cs="Times New Roman"/>
          <w:bCs/>
          <w:i/>
          <w:iCs/>
          <w:sz w:val="28"/>
          <w:szCs w:val="28"/>
        </w:rPr>
        <w:t>Johnson v. State</w:t>
      </w:r>
      <w:r>
        <w:rPr>
          <w:rFonts w:eastAsia="Times New Roman" w:cs="Times New Roman"/>
          <w:bCs/>
          <w:sz w:val="28"/>
          <w:szCs w:val="28"/>
        </w:rPr>
        <w:t xml:space="preserve">, which was decided on </w:t>
      </w:r>
      <w:r w:rsidR="008617E8">
        <w:rPr>
          <w:rFonts w:eastAsia="Times New Roman" w:cs="Times New Roman"/>
          <w:bCs/>
          <w:sz w:val="28"/>
          <w:szCs w:val="28"/>
        </w:rPr>
        <w:t>March 15, 2023.</w:t>
      </w:r>
    </w:p>
    <w:p w14:paraId="02B66446" w14:textId="33A158CC" w:rsidR="00BB2C28" w:rsidRPr="00BB2C28" w:rsidRDefault="008617E8" w:rsidP="00555CD3">
      <w:pPr>
        <w:spacing w:after="200" w:line="480" w:lineRule="auto"/>
        <w:rPr>
          <w:rFonts w:eastAsia="Times New Roman" w:cs="Times New Roman"/>
          <w:bCs/>
          <w:i/>
          <w:iCs/>
          <w:sz w:val="28"/>
          <w:szCs w:val="28"/>
        </w:rPr>
      </w:pPr>
      <w:r>
        <w:rPr>
          <w:rFonts w:eastAsia="Times New Roman" w:cs="Times New Roman"/>
          <w:bCs/>
          <w:i/>
          <w:iCs/>
          <w:sz w:val="28"/>
          <w:szCs w:val="28"/>
        </w:rPr>
        <w:t>When this decision was published, Wade and I both immediately realized that 1) this decision needed to be discussed on the podcast; and 2) this was an important decision.</w:t>
      </w:r>
    </w:p>
    <w:p w14:paraId="701E8693" w14:textId="58DD732B" w:rsidR="00F0409E" w:rsidRDefault="008617E8" w:rsidP="00555CD3">
      <w:pPr>
        <w:spacing w:after="200" w:line="480" w:lineRule="auto"/>
        <w:rPr>
          <w:rFonts w:eastAsia="Times New Roman" w:cs="Times New Roman"/>
          <w:bCs/>
          <w:sz w:val="28"/>
          <w:szCs w:val="28"/>
        </w:rPr>
      </w:pPr>
      <w:r>
        <w:rPr>
          <w:rFonts w:eastAsia="Times New Roman" w:cs="Times New Roman"/>
          <w:bCs/>
          <w:sz w:val="28"/>
          <w:szCs w:val="28"/>
        </w:rPr>
        <w:t>The citation we have for this decision at the time of recording is only the Supreme Court case number, S22A0964.  I am sure by the time this episode is published, there will be more citation information.</w:t>
      </w:r>
    </w:p>
    <w:p w14:paraId="7993FEAE" w14:textId="44FA7D0E" w:rsidR="00AF648B" w:rsidRDefault="002C6895" w:rsidP="00555CD3">
      <w:pPr>
        <w:spacing w:after="200" w:line="480" w:lineRule="auto"/>
        <w:rPr>
          <w:rFonts w:eastAsia="Times New Roman" w:cs="Times New Roman"/>
          <w:bCs/>
          <w:i/>
          <w:iCs/>
          <w:sz w:val="28"/>
          <w:szCs w:val="28"/>
        </w:rPr>
      </w:pPr>
      <w:r>
        <w:rPr>
          <w:rFonts w:eastAsia="Times New Roman" w:cs="Times New Roman"/>
          <w:bCs/>
          <w:i/>
          <w:iCs/>
          <w:sz w:val="28"/>
          <w:szCs w:val="28"/>
        </w:rPr>
        <w:lastRenderedPageBreak/>
        <w:t xml:space="preserve">You do not need to stop what you are doing to write down that citation.  It is in our episode notes which can be found at goodjudgepod.com </w:t>
      </w:r>
      <w:r w:rsidR="00AB794B">
        <w:rPr>
          <w:rFonts w:eastAsia="Times New Roman" w:cs="Times New Roman"/>
          <w:bCs/>
          <w:i/>
          <w:iCs/>
          <w:sz w:val="28"/>
          <w:szCs w:val="28"/>
        </w:rPr>
        <w:t>.</w:t>
      </w:r>
    </w:p>
    <w:p w14:paraId="48220091" w14:textId="0A87F716" w:rsidR="00AF648B" w:rsidRDefault="007B08E5" w:rsidP="00555CD3">
      <w:pPr>
        <w:spacing w:after="200" w:line="480" w:lineRule="auto"/>
        <w:rPr>
          <w:rFonts w:eastAsia="Times New Roman" w:cs="Times New Roman"/>
          <w:bCs/>
          <w:sz w:val="28"/>
          <w:szCs w:val="28"/>
        </w:rPr>
      </w:pPr>
      <w:r>
        <w:rPr>
          <w:rFonts w:eastAsia="Times New Roman" w:cs="Times New Roman"/>
          <w:bCs/>
          <w:sz w:val="28"/>
          <w:szCs w:val="28"/>
        </w:rPr>
        <w:t>With any further ado, let’s get into it.</w:t>
      </w:r>
    </w:p>
    <w:p w14:paraId="32AF49D6" w14:textId="6B8C3549" w:rsidR="004C0F37" w:rsidRDefault="002C6895" w:rsidP="002C6895">
      <w:pPr>
        <w:spacing w:after="200" w:line="480" w:lineRule="auto"/>
        <w:rPr>
          <w:rFonts w:eastAsia="Times New Roman" w:cs="Times New Roman"/>
          <w:bCs/>
          <w:sz w:val="28"/>
          <w:szCs w:val="28"/>
        </w:rPr>
      </w:pPr>
      <w:r>
        <w:rPr>
          <w:rFonts w:eastAsia="Times New Roman" w:cs="Times New Roman"/>
          <w:b/>
          <w:sz w:val="28"/>
          <w:szCs w:val="28"/>
        </w:rPr>
        <w:pict w14:anchorId="74FEBC56">
          <v:rect id="_x0000_i1045" style="width:0;height:1.5pt" o:hralign="center" o:bullet="t" o:hrstd="t" o:hr="t" fillcolor="#a0a0a0" stroked="f"/>
        </w:pict>
      </w:r>
    </w:p>
    <w:p w14:paraId="461904BD" w14:textId="4E5A3046" w:rsidR="002C6895" w:rsidRDefault="002C6895" w:rsidP="002C6895">
      <w:pPr>
        <w:spacing w:after="200" w:line="480" w:lineRule="auto"/>
        <w:rPr>
          <w:rFonts w:eastAsia="Times New Roman" w:cs="Times New Roman"/>
          <w:bCs/>
          <w:sz w:val="28"/>
          <w:szCs w:val="28"/>
        </w:rPr>
      </w:pPr>
      <w:r>
        <w:rPr>
          <w:rFonts w:eastAsia="Times New Roman" w:cs="Times New Roman"/>
          <w:bCs/>
          <w:sz w:val="28"/>
          <w:szCs w:val="28"/>
        </w:rPr>
        <w:t xml:space="preserve">Let’s begin by discussing the facts of the </w:t>
      </w:r>
      <w:r>
        <w:rPr>
          <w:rFonts w:eastAsia="Times New Roman" w:cs="Times New Roman"/>
          <w:bCs/>
          <w:i/>
          <w:iCs/>
          <w:sz w:val="28"/>
          <w:szCs w:val="28"/>
        </w:rPr>
        <w:t>Johnson</w:t>
      </w:r>
      <w:r>
        <w:rPr>
          <w:rFonts w:eastAsia="Times New Roman" w:cs="Times New Roman"/>
          <w:bCs/>
          <w:sz w:val="28"/>
          <w:szCs w:val="28"/>
        </w:rPr>
        <w:t xml:space="preserve"> case.</w:t>
      </w:r>
    </w:p>
    <w:p w14:paraId="74FAD8A6" w14:textId="4C4A7119" w:rsidR="00741D72" w:rsidRDefault="00741D72" w:rsidP="00741D72">
      <w:pPr>
        <w:spacing w:after="200" w:line="480" w:lineRule="auto"/>
        <w:ind w:left="720"/>
        <w:rPr>
          <w:rFonts w:eastAsia="Times New Roman" w:cs="Times New Roman"/>
          <w:bCs/>
          <w:sz w:val="28"/>
          <w:szCs w:val="28"/>
        </w:rPr>
      </w:pPr>
      <w:r>
        <w:rPr>
          <w:rFonts w:eastAsia="Times New Roman" w:cs="Times New Roman"/>
          <w:bCs/>
          <w:sz w:val="28"/>
          <w:szCs w:val="28"/>
        </w:rPr>
        <w:t>But before we jump into the facts, we need to define a term for out listeners that is going to be discussed prominently during this episode</w:t>
      </w:r>
    </w:p>
    <w:p w14:paraId="5EE1B641" w14:textId="465914F4" w:rsidR="00741D72" w:rsidRDefault="00741D72" w:rsidP="00741D72">
      <w:pPr>
        <w:spacing w:after="200" w:line="480" w:lineRule="auto"/>
        <w:rPr>
          <w:rFonts w:eastAsia="Times New Roman" w:cs="Times New Roman"/>
          <w:bCs/>
          <w:sz w:val="28"/>
          <w:szCs w:val="28"/>
        </w:rPr>
      </w:pPr>
      <w:r>
        <w:rPr>
          <w:rFonts w:eastAsia="Times New Roman" w:cs="Times New Roman"/>
          <w:bCs/>
          <w:sz w:val="28"/>
          <w:szCs w:val="28"/>
        </w:rPr>
        <w:t>This sort of feels like “word of the day” on Sesame Street!</w:t>
      </w:r>
    </w:p>
    <w:p w14:paraId="6285BD3D" w14:textId="344AAD11" w:rsidR="00741D72" w:rsidRDefault="00741D72" w:rsidP="00741D72">
      <w:pPr>
        <w:spacing w:after="200" w:line="480" w:lineRule="auto"/>
        <w:ind w:left="720"/>
        <w:rPr>
          <w:rFonts w:eastAsia="Times New Roman" w:cs="Times New Roman"/>
          <w:bCs/>
          <w:sz w:val="28"/>
          <w:szCs w:val="28"/>
        </w:rPr>
      </w:pPr>
      <w:r>
        <w:rPr>
          <w:rFonts w:eastAsia="Times New Roman" w:cs="Times New Roman"/>
          <w:bCs/>
          <w:sz w:val="28"/>
          <w:szCs w:val="28"/>
        </w:rPr>
        <w:t>“Hybrid representation” this term refers to when a defendant acts on his/her own behalf in court while he is at the same time represented by counsel.</w:t>
      </w:r>
      <w:r w:rsidR="00D00993">
        <w:rPr>
          <w:rStyle w:val="EndnoteReference"/>
          <w:rFonts w:eastAsia="Times New Roman" w:cs="Times New Roman"/>
          <w:bCs/>
          <w:szCs w:val="28"/>
        </w:rPr>
        <w:endnoteReference w:id="1"/>
      </w:r>
    </w:p>
    <w:p w14:paraId="3450D7E9" w14:textId="7312B3C5" w:rsidR="00741D72" w:rsidRDefault="00741D72" w:rsidP="00741D72">
      <w:pPr>
        <w:spacing w:after="200" w:line="480" w:lineRule="auto"/>
        <w:rPr>
          <w:rFonts w:eastAsia="Times New Roman" w:cs="Times New Roman"/>
          <w:bCs/>
          <w:sz w:val="28"/>
          <w:szCs w:val="28"/>
        </w:rPr>
      </w:pPr>
      <w:r>
        <w:rPr>
          <w:rFonts w:eastAsia="Times New Roman" w:cs="Times New Roman"/>
          <w:bCs/>
          <w:sz w:val="28"/>
          <w:szCs w:val="28"/>
        </w:rPr>
        <w:t>So, our word of the day is “hybrid representation”</w:t>
      </w:r>
    </w:p>
    <w:p w14:paraId="2F878A72" w14:textId="1D4D29D6" w:rsidR="00D00993" w:rsidRDefault="00D00993" w:rsidP="00741D72">
      <w:pPr>
        <w:spacing w:after="200" w:line="480" w:lineRule="auto"/>
        <w:rPr>
          <w:rFonts w:eastAsia="Times New Roman" w:cs="Times New Roman"/>
          <w:bCs/>
          <w:sz w:val="28"/>
          <w:szCs w:val="28"/>
        </w:rPr>
      </w:pPr>
      <w:r>
        <w:rPr>
          <w:rFonts w:eastAsia="Times New Roman" w:cs="Times New Roman"/>
          <w:b/>
          <w:sz w:val="28"/>
          <w:szCs w:val="28"/>
        </w:rPr>
        <w:pict w14:anchorId="05EE2D51">
          <v:rect id="_x0000_i1060" style="width:0;height:1.5pt" o:hralign="center" o:bullet="t" o:hrstd="t" o:hr="t" fillcolor="#a0a0a0" stroked="f"/>
        </w:pict>
      </w:r>
    </w:p>
    <w:p w14:paraId="46113C41" w14:textId="50C0C043" w:rsidR="002C6895" w:rsidRDefault="002C6895" w:rsidP="00D00993">
      <w:pPr>
        <w:spacing w:after="200" w:line="480" w:lineRule="auto"/>
        <w:rPr>
          <w:rFonts w:eastAsia="Times New Roman" w:cs="Times New Roman"/>
          <w:bCs/>
          <w:sz w:val="28"/>
          <w:szCs w:val="28"/>
        </w:rPr>
      </w:pPr>
      <w:r>
        <w:rPr>
          <w:rFonts w:eastAsia="Times New Roman" w:cs="Times New Roman"/>
          <w:bCs/>
          <w:sz w:val="28"/>
          <w:szCs w:val="28"/>
        </w:rPr>
        <w:t xml:space="preserve">Extreme facts sometimes lead to interesting appellate decisions and the facts of this case are clearly </w:t>
      </w:r>
      <w:r w:rsidR="00D00993">
        <w:rPr>
          <w:rFonts w:eastAsia="Times New Roman" w:cs="Times New Roman"/>
          <w:bCs/>
          <w:sz w:val="28"/>
          <w:szCs w:val="28"/>
        </w:rPr>
        <w:t xml:space="preserve">both extreme and </w:t>
      </w:r>
      <w:r>
        <w:rPr>
          <w:rFonts w:eastAsia="Times New Roman" w:cs="Times New Roman"/>
          <w:bCs/>
          <w:sz w:val="28"/>
          <w:szCs w:val="28"/>
        </w:rPr>
        <w:t>unique</w:t>
      </w:r>
    </w:p>
    <w:p w14:paraId="7F721ACC" w14:textId="2A8A010C" w:rsidR="002C6895" w:rsidRDefault="002C6895" w:rsidP="002C6895">
      <w:pPr>
        <w:spacing w:after="200" w:line="480" w:lineRule="auto"/>
        <w:rPr>
          <w:rFonts w:eastAsia="Times New Roman" w:cs="Times New Roman"/>
          <w:bCs/>
          <w:sz w:val="28"/>
          <w:szCs w:val="28"/>
        </w:rPr>
      </w:pPr>
      <w:r>
        <w:rPr>
          <w:rFonts w:eastAsia="Times New Roman" w:cs="Times New Roman"/>
          <w:bCs/>
          <w:sz w:val="28"/>
          <w:szCs w:val="28"/>
        </w:rPr>
        <w:lastRenderedPageBreak/>
        <w:t>This case came out of Augusta and the oral arguments were actually conducted in Augusta</w:t>
      </w:r>
      <w:r w:rsidR="00760D38">
        <w:rPr>
          <w:rFonts w:eastAsia="Times New Roman" w:cs="Times New Roman"/>
          <w:bCs/>
          <w:sz w:val="28"/>
          <w:szCs w:val="28"/>
        </w:rPr>
        <w:t xml:space="preserve"> during one of the occasions that the Supreme Court conducted appellate arguments outside of the Deal Building</w:t>
      </w:r>
    </w:p>
    <w:p w14:paraId="0B56F381" w14:textId="3CF8A718" w:rsidR="00760D38" w:rsidRDefault="00760D38" w:rsidP="00760D38">
      <w:pPr>
        <w:spacing w:after="200" w:line="480" w:lineRule="auto"/>
        <w:ind w:left="720"/>
        <w:rPr>
          <w:rFonts w:eastAsia="Times New Roman" w:cs="Times New Roman"/>
          <w:bCs/>
          <w:sz w:val="28"/>
          <w:szCs w:val="28"/>
        </w:rPr>
      </w:pPr>
      <w:r>
        <w:rPr>
          <w:rFonts w:eastAsia="Times New Roman" w:cs="Times New Roman"/>
          <w:bCs/>
          <w:sz w:val="28"/>
          <w:szCs w:val="28"/>
        </w:rPr>
        <w:t>Mr. Johnson was tried and convicted of murder and other counts for acts that occurred in 1997.</w:t>
      </w:r>
    </w:p>
    <w:p w14:paraId="0F059F64" w14:textId="220FD028" w:rsidR="00760D38" w:rsidRDefault="00760D38" w:rsidP="002C6895">
      <w:pPr>
        <w:spacing w:after="200" w:line="480" w:lineRule="auto"/>
        <w:rPr>
          <w:rFonts w:eastAsia="Times New Roman" w:cs="Times New Roman"/>
          <w:bCs/>
          <w:sz w:val="28"/>
          <w:szCs w:val="28"/>
        </w:rPr>
      </w:pPr>
      <w:r>
        <w:rPr>
          <w:rFonts w:eastAsia="Times New Roman" w:cs="Times New Roman"/>
          <w:bCs/>
          <w:sz w:val="28"/>
          <w:szCs w:val="28"/>
        </w:rPr>
        <w:t>The State sought the death penalty but the jury recommended a sentence of life without parole</w:t>
      </w:r>
      <w:r w:rsidR="00D00993">
        <w:rPr>
          <w:rFonts w:eastAsia="Times New Roman" w:cs="Times New Roman"/>
          <w:bCs/>
          <w:sz w:val="28"/>
          <w:szCs w:val="28"/>
        </w:rPr>
        <w:t>.  T</w:t>
      </w:r>
      <w:r>
        <w:rPr>
          <w:rFonts w:eastAsia="Times New Roman" w:cs="Times New Roman"/>
          <w:bCs/>
          <w:sz w:val="28"/>
          <w:szCs w:val="28"/>
        </w:rPr>
        <w:t xml:space="preserve">hat sentence was imposed in </w:t>
      </w:r>
      <w:r w:rsidR="00250188">
        <w:rPr>
          <w:rFonts w:eastAsia="Times New Roman" w:cs="Times New Roman"/>
          <w:bCs/>
          <w:sz w:val="28"/>
          <w:szCs w:val="28"/>
        </w:rPr>
        <w:t xml:space="preserve">November </w:t>
      </w:r>
      <w:r>
        <w:rPr>
          <w:rFonts w:eastAsia="Times New Roman" w:cs="Times New Roman"/>
          <w:bCs/>
          <w:sz w:val="28"/>
          <w:szCs w:val="28"/>
        </w:rPr>
        <w:t>2000.</w:t>
      </w:r>
    </w:p>
    <w:p w14:paraId="7455BDAB" w14:textId="13F55A93" w:rsidR="00760D38" w:rsidRDefault="00760D38" w:rsidP="00E53C6D">
      <w:pPr>
        <w:spacing w:after="200" w:line="480" w:lineRule="auto"/>
        <w:ind w:left="1440"/>
        <w:rPr>
          <w:rFonts w:eastAsia="Times New Roman" w:cs="Times New Roman"/>
          <w:bCs/>
          <w:sz w:val="28"/>
          <w:szCs w:val="28"/>
        </w:rPr>
      </w:pPr>
      <w:r>
        <w:rPr>
          <w:rFonts w:eastAsia="Times New Roman" w:cs="Times New Roman"/>
          <w:bCs/>
          <w:sz w:val="28"/>
          <w:szCs w:val="28"/>
        </w:rPr>
        <w:t xml:space="preserve">We all know that a motion for new trial must be filed within 30 days of the judgment becoming final – and a “conviction” is final when there is a verdict (or plea accepted), a written sentence is </w:t>
      </w:r>
      <w:r w:rsidR="00E53C6D">
        <w:rPr>
          <w:rFonts w:eastAsia="Times New Roman" w:cs="Times New Roman"/>
          <w:bCs/>
          <w:sz w:val="28"/>
          <w:szCs w:val="28"/>
        </w:rPr>
        <w:t>issued and it is FILED with the clerk of court.</w:t>
      </w:r>
    </w:p>
    <w:p w14:paraId="46A086E1" w14:textId="45DFB2E3" w:rsidR="00E53C6D" w:rsidRDefault="00E53C6D" w:rsidP="00E53C6D">
      <w:pPr>
        <w:spacing w:after="200" w:line="480" w:lineRule="auto"/>
        <w:rPr>
          <w:rFonts w:eastAsia="Times New Roman" w:cs="Times New Roman"/>
          <w:bCs/>
          <w:sz w:val="28"/>
          <w:szCs w:val="28"/>
        </w:rPr>
      </w:pPr>
      <w:r>
        <w:rPr>
          <w:rFonts w:eastAsia="Times New Roman" w:cs="Times New Roman"/>
          <w:bCs/>
          <w:sz w:val="28"/>
          <w:szCs w:val="28"/>
        </w:rPr>
        <w:t>In this case, the sentence was entered on November 17, 2000 and the lead counsel (remember</w:t>
      </w:r>
      <w:r w:rsidR="00D00993">
        <w:rPr>
          <w:rFonts w:eastAsia="Times New Roman" w:cs="Times New Roman"/>
          <w:bCs/>
          <w:sz w:val="28"/>
          <w:szCs w:val="28"/>
        </w:rPr>
        <w:t>:</w:t>
      </w:r>
      <w:r>
        <w:rPr>
          <w:rFonts w:eastAsia="Times New Roman" w:cs="Times New Roman"/>
          <w:bCs/>
          <w:sz w:val="28"/>
          <w:szCs w:val="28"/>
        </w:rPr>
        <w:t xml:space="preserve"> 1)this was a death penalty case that predated the Capital Defender’s Office being created; and 2) </w:t>
      </w:r>
      <w:r w:rsidR="00D00993">
        <w:rPr>
          <w:rFonts w:eastAsia="Times New Roman" w:cs="Times New Roman"/>
          <w:bCs/>
          <w:sz w:val="28"/>
          <w:szCs w:val="28"/>
        </w:rPr>
        <w:t>That two</w:t>
      </w:r>
      <w:r>
        <w:rPr>
          <w:rFonts w:eastAsia="Times New Roman" w:cs="Times New Roman"/>
          <w:bCs/>
          <w:sz w:val="28"/>
          <w:szCs w:val="28"/>
        </w:rPr>
        <w:t xml:space="preserve"> lawyers had to be appointed to defend a death case) filed a motion to withdraw on December 12, 2000 which the trial court granted on the same day.  That left one lawyer and about 5 days for Mr. Johnson’s motion for new trial to be filed.</w:t>
      </w:r>
    </w:p>
    <w:p w14:paraId="3D9E1045" w14:textId="22BCA136" w:rsidR="00E53C6D" w:rsidRDefault="00E53C6D" w:rsidP="00E53C6D">
      <w:pPr>
        <w:spacing w:after="200" w:line="480" w:lineRule="auto"/>
        <w:rPr>
          <w:rFonts w:eastAsia="Times New Roman" w:cs="Times New Roman"/>
          <w:bCs/>
          <w:sz w:val="28"/>
          <w:szCs w:val="28"/>
        </w:rPr>
      </w:pPr>
      <w:r>
        <w:rPr>
          <w:rFonts w:eastAsia="Times New Roman" w:cs="Times New Roman"/>
          <w:bCs/>
          <w:sz w:val="28"/>
          <w:szCs w:val="28"/>
        </w:rPr>
        <w:tab/>
        <w:t>The co-counsel never withdrew or filed a motion for new trial.</w:t>
      </w:r>
    </w:p>
    <w:p w14:paraId="39814998" w14:textId="6B94A73E" w:rsidR="00E53C6D" w:rsidRDefault="00E53C6D" w:rsidP="00E53C6D">
      <w:pPr>
        <w:spacing w:after="200" w:line="480" w:lineRule="auto"/>
        <w:rPr>
          <w:rFonts w:eastAsia="Times New Roman" w:cs="Times New Roman"/>
          <w:bCs/>
          <w:sz w:val="28"/>
          <w:szCs w:val="28"/>
        </w:rPr>
      </w:pPr>
      <w:r>
        <w:rPr>
          <w:rFonts w:eastAsia="Times New Roman" w:cs="Times New Roman"/>
          <w:bCs/>
          <w:sz w:val="28"/>
          <w:szCs w:val="28"/>
        </w:rPr>
        <w:lastRenderedPageBreak/>
        <w:t>However, the day after the lead counsel withdrew, the DEFENDANT HIMSELF filed a pro se “Extraordinary Motion for New Trial</w:t>
      </w:r>
      <w:r w:rsidR="00E17FEE">
        <w:rPr>
          <w:rFonts w:eastAsia="Times New Roman" w:cs="Times New Roman"/>
          <w:bCs/>
          <w:sz w:val="28"/>
          <w:szCs w:val="28"/>
        </w:rPr>
        <w:t>.”</w:t>
      </w:r>
    </w:p>
    <w:p w14:paraId="40E0DE33" w14:textId="3B3B337B" w:rsidR="00E17FEE" w:rsidRDefault="00E17FEE" w:rsidP="00E17FEE">
      <w:pPr>
        <w:spacing w:after="200" w:line="480" w:lineRule="auto"/>
        <w:ind w:left="720"/>
        <w:rPr>
          <w:rFonts w:eastAsia="Times New Roman" w:cs="Times New Roman"/>
          <w:bCs/>
          <w:sz w:val="28"/>
          <w:szCs w:val="28"/>
        </w:rPr>
      </w:pPr>
      <w:r>
        <w:rPr>
          <w:rFonts w:eastAsia="Times New Roman" w:cs="Times New Roman"/>
          <w:bCs/>
          <w:sz w:val="28"/>
          <w:szCs w:val="28"/>
        </w:rPr>
        <w:t>Two days later, the defendant sent the trial court a letter in which he requested his trial transcript and said, “at this time, I have no attorney and wish to proceed with my appeal pro se.”</w:t>
      </w:r>
    </w:p>
    <w:p w14:paraId="6932BA2A" w14:textId="47500E84" w:rsidR="00E17FEE" w:rsidRDefault="00E17FEE" w:rsidP="00E17FEE">
      <w:pPr>
        <w:spacing w:after="200" w:line="480" w:lineRule="auto"/>
        <w:rPr>
          <w:rFonts w:eastAsia="Times New Roman" w:cs="Times New Roman"/>
          <w:bCs/>
          <w:sz w:val="28"/>
          <w:szCs w:val="28"/>
        </w:rPr>
      </w:pPr>
      <w:r>
        <w:rPr>
          <w:rFonts w:eastAsia="Times New Roman" w:cs="Times New Roman"/>
          <w:bCs/>
          <w:sz w:val="28"/>
          <w:szCs w:val="28"/>
        </w:rPr>
        <w:t>The Defendant wrote the clerk again in January 2021, requesting copies of documents which he received from the clerk.</w:t>
      </w:r>
      <w:r w:rsidR="000E6359">
        <w:rPr>
          <w:rFonts w:eastAsia="Times New Roman" w:cs="Times New Roman"/>
          <w:bCs/>
          <w:sz w:val="28"/>
          <w:szCs w:val="28"/>
        </w:rPr>
        <w:t xml:space="preserve">  It was very clear that the defendant had not waived his right to appeal and was interested in doing so.</w:t>
      </w:r>
    </w:p>
    <w:p w14:paraId="5BC52729" w14:textId="626B48B2" w:rsidR="00E17FEE" w:rsidRDefault="00E17FEE" w:rsidP="00613822">
      <w:pPr>
        <w:spacing w:after="200" w:line="480" w:lineRule="auto"/>
        <w:ind w:left="720"/>
        <w:rPr>
          <w:rFonts w:eastAsia="Times New Roman" w:cs="Times New Roman"/>
          <w:bCs/>
          <w:sz w:val="28"/>
          <w:szCs w:val="28"/>
        </w:rPr>
      </w:pPr>
      <w:r>
        <w:rPr>
          <w:rFonts w:eastAsia="Times New Roman" w:cs="Times New Roman"/>
          <w:bCs/>
          <w:sz w:val="28"/>
          <w:szCs w:val="28"/>
        </w:rPr>
        <w:t xml:space="preserve">Later that year, the defendant wrote to the clerk again and was told that a specific attorney had been appointed for the appeal and that </w:t>
      </w:r>
      <w:r w:rsidR="00613822">
        <w:rPr>
          <w:rFonts w:eastAsia="Times New Roman" w:cs="Times New Roman"/>
          <w:bCs/>
          <w:sz w:val="28"/>
          <w:szCs w:val="28"/>
        </w:rPr>
        <w:t>he would need to seek additional documents through his attorney.</w:t>
      </w:r>
    </w:p>
    <w:p w14:paraId="48D0C97A" w14:textId="35D0B3DC" w:rsidR="00613822" w:rsidRDefault="00613822" w:rsidP="00613822">
      <w:pPr>
        <w:spacing w:after="200" w:line="480" w:lineRule="auto"/>
        <w:rPr>
          <w:rFonts w:eastAsia="Times New Roman" w:cs="Times New Roman"/>
          <w:bCs/>
          <w:sz w:val="28"/>
          <w:szCs w:val="28"/>
        </w:rPr>
      </w:pPr>
      <w:r>
        <w:rPr>
          <w:rFonts w:eastAsia="Times New Roman" w:cs="Times New Roman"/>
          <w:bCs/>
          <w:sz w:val="28"/>
          <w:szCs w:val="28"/>
        </w:rPr>
        <w:t>The defendant responded to the clerk by indicating “the appointed attorney…has not responded to any of my requests at all.”  That appointed appellate counsel never filed any entry of appearance in the case.</w:t>
      </w:r>
    </w:p>
    <w:p w14:paraId="2290C728" w14:textId="1D42D6ED" w:rsidR="00613822" w:rsidRDefault="00613822" w:rsidP="00613822">
      <w:pPr>
        <w:spacing w:after="200" w:line="480" w:lineRule="auto"/>
        <w:ind w:left="720"/>
        <w:rPr>
          <w:rFonts w:eastAsia="Times New Roman" w:cs="Times New Roman"/>
          <w:bCs/>
          <w:sz w:val="28"/>
          <w:szCs w:val="28"/>
        </w:rPr>
      </w:pPr>
      <w:r>
        <w:rPr>
          <w:rFonts w:eastAsia="Times New Roman" w:cs="Times New Roman"/>
          <w:bCs/>
          <w:sz w:val="28"/>
          <w:szCs w:val="28"/>
        </w:rPr>
        <w:t xml:space="preserve">Over the following decade (yes, decade) the defendant continued to correspond with the clerk, noting that the lead attorney had then died, that the other </w:t>
      </w:r>
      <w:r w:rsidR="000E6359">
        <w:rPr>
          <w:rFonts w:eastAsia="Times New Roman" w:cs="Times New Roman"/>
          <w:bCs/>
          <w:sz w:val="28"/>
          <w:szCs w:val="28"/>
        </w:rPr>
        <w:t xml:space="preserve">trial </w:t>
      </w:r>
      <w:r>
        <w:rPr>
          <w:rFonts w:eastAsia="Times New Roman" w:cs="Times New Roman"/>
          <w:bCs/>
          <w:sz w:val="28"/>
          <w:szCs w:val="28"/>
        </w:rPr>
        <w:t>attorney was no longer practicing law and that he was indigent.</w:t>
      </w:r>
      <w:r w:rsidR="000E6359">
        <w:rPr>
          <w:rFonts w:eastAsia="Times New Roman" w:cs="Times New Roman"/>
          <w:bCs/>
          <w:sz w:val="28"/>
          <w:szCs w:val="28"/>
        </w:rPr>
        <w:t xml:space="preserve"> (Again, evidence that he was interested in pursuing an appeal)</w:t>
      </w:r>
    </w:p>
    <w:p w14:paraId="34289646" w14:textId="4CE7D915" w:rsidR="00613822" w:rsidRDefault="00613822" w:rsidP="00613822">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In December 2017, the defendant’s current appellate lawyer entered an appearance.  (Remember, the conviction was entered </w:t>
      </w:r>
      <w:r w:rsidR="00250188">
        <w:rPr>
          <w:rFonts w:eastAsia="Times New Roman" w:cs="Times New Roman"/>
          <w:bCs/>
          <w:sz w:val="28"/>
          <w:szCs w:val="28"/>
        </w:rPr>
        <w:t>November 17, 2000 – this is over 17 years later) and that lawyer had the trial judge enter an order appointing a special master to attempt to recreate the case file, to include the files of his lawyers</w:t>
      </w:r>
      <w:r w:rsidR="000E6359">
        <w:rPr>
          <w:rFonts w:eastAsia="Times New Roman" w:cs="Times New Roman"/>
          <w:bCs/>
          <w:sz w:val="28"/>
          <w:szCs w:val="28"/>
        </w:rPr>
        <w:t>, the transcript and every other aspect of the file</w:t>
      </w:r>
      <w:r w:rsidR="00250188">
        <w:rPr>
          <w:rFonts w:eastAsia="Times New Roman" w:cs="Times New Roman"/>
          <w:bCs/>
          <w:sz w:val="28"/>
          <w:szCs w:val="28"/>
        </w:rPr>
        <w:t>.</w:t>
      </w:r>
    </w:p>
    <w:p w14:paraId="6A3943AA" w14:textId="233C29F7" w:rsidR="00250188" w:rsidRDefault="00250188" w:rsidP="00250188">
      <w:pPr>
        <w:spacing w:after="200" w:line="480" w:lineRule="auto"/>
        <w:ind w:left="720"/>
        <w:rPr>
          <w:rFonts w:eastAsia="Times New Roman" w:cs="Times New Roman"/>
          <w:bCs/>
          <w:sz w:val="28"/>
          <w:szCs w:val="28"/>
        </w:rPr>
      </w:pPr>
      <w:r>
        <w:rPr>
          <w:rFonts w:eastAsia="Times New Roman" w:cs="Times New Roman"/>
          <w:bCs/>
          <w:sz w:val="28"/>
          <w:szCs w:val="28"/>
        </w:rPr>
        <w:t>In December 2018, the trial judge entered an order, allowing the defendant leave to file an “out of time motion for new trial and appeal.”  Hearings were conducted over the next few YEARS, and in January 2022, the trial court denied the motion for new trial.</w:t>
      </w:r>
    </w:p>
    <w:p w14:paraId="1D2DE257" w14:textId="47DC094C" w:rsidR="005F2C91" w:rsidRDefault="00250188" w:rsidP="00250188">
      <w:pPr>
        <w:spacing w:after="200" w:line="480" w:lineRule="auto"/>
        <w:rPr>
          <w:rFonts w:eastAsia="Times New Roman" w:cs="Times New Roman"/>
          <w:bCs/>
          <w:sz w:val="28"/>
          <w:szCs w:val="28"/>
        </w:rPr>
      </w:pPr>
      <w:r>
        <w:rPr>
          <w:rFonts w:eastAsia="Times New Roman" w:cs="Times New Roman"/>
          <w:bCs/>
          <w:sz w:val="28"/>
          <w:szCs w:val="28"/>
        </w:rPr>
        <w:t>When the appeal was first docketed, the Supreme Court dismissed the appeal, citing the existing case law</w:t>
      </w:r>
      <w:r>
        <w:rPr>
          <w:rStyle w:val="EndnoteReference"/>
          <w:rFonts w:eastAsia="Times New Roman" w:cs="Times New Roman"/>
          <w:bCs/>
          <w:szCs w:val="28"/>
        </w:rPr>
        <w:endnoteReference w:id="2"/>
      </w:r>
      <w:r w:rsidR="00735C87">
        <w:rPr>
          <w:rFonts w:eastAsia="Times New Roman" w:cs="Times New Roman"/>
          <w:bCs/>
          <w:sz w:val="28"/>
          <w:szCs w:val="28"/>
        </w:rPr>
        <w:t xml:space="preserve"> which held that after a conviction, the trial counsel continued to represent the defendant, absent a formal withdrawal or substitution of counsel.  Therefore, because of that presumption, the defendant’s pro se filing</w:t>
      </w:r>
      <w:r w:rsidR="005F2C91">
        <w:rPr>
          <w:rFonts w:eastAsia="Times New Roman" w:cs="Times New Roman"/>
          <w:bCs/>
          <w:sz w:val="28"/>
          <w:szCs w:val="28"/>
        </w:rPr>
        <w:t xml:space="preserve"> of a motion for new trial – made while an attorney represented him – </w:t>
      </w:r>
      <w:r w:rsidR="00735C87">
        <w:rPr>
          <w:rFonts w:eastAsia="Times New Roman" w:cs="Times New Roman"/>
          <w:bCs/>
          <w:sz w:val="28"/>
          <w:szCs w:val="28"/>
        </w:rPr>
        <w:t>was a nullity.</w:t>
      </w:r>
      <w:r w:rsidR="005F2C91">
        <w:rPr>
          <w:rFonts w:eastAsia="Times New Roman" w:cs="Times New Roman"/>
          <w:bCs/>
          <w:sz w:val="28"/>
          <w:szCs w:val="28"/>
        </w:rPr>
        <w:t xml:space="preserve"> </w:t>
      </w:r>
    </w:p>
    <w:p w14:paraId="4E9B9379" w14:textId="0533C85E" w:rsidR="00735C87" w:rsidRDefault="00735C87" w:rsidP="005F2C91">
      <w:pPr>
        <w:spacing w:after="200" w:line="480" w:lineRule="auto"/>
        <w:ind w:left="720"/>
        <w:rPr>
          <w:rFonts w:eastAsia="Times New Roman" w:cs="Times New Roman"/>
          <w:bCs/>
          <w:sz w:val="28"/>
          <w:szCs w:val="28"/>
        </w:rPr>
      </w:pPr>
      <w:r>
        <w:rPr>
          <w:rFonts w:eastAsia="Times New Roman" w:cs="Times New Roman"/>
          <w:bCs/>
          <w:sz w:val="28"/>
          <w:szCs w:val="28"/>
        </w:rPr>
        <w:t>We are going to address the case law</w:t>
      </w:r>
      <w:r w:rsidR="005F2C91">
        <w:rPr>
          <w:rFonts w:eastAsia="Times New Roman" w:cs="Times New Roman"/>
          <w:bCs/>
          <w:sz w:val="28"/>
          <w:szCs w:val="28"/>
        </w:rPr>
        <w:t xml:space="preserve"> relating to what became known as “hybrid representation” during this episode.  But let’s finish the factual background of the case first.</w:t>
      </w:r>
    </w:p>
    <w:p w14:paraId="2E9A790B" w14:textId="1185A603" w:rsidR="005F2C91" w:rsidRDefault="005F2C91" w:rsidP="005F2C91">
      <w:pPr>
        <w:spacing w:after="200" w:line="480" w:lineRule="auto"/>
        <w:rPr>
          <w:rFonts w:eastAsia="Times New Roman" w:cs="Times New Roman"/>
          <w:bCs/>
          <w:sz w:val="28"/>
          <w:szCs w:val="28"/>
        </w:rPr>
      </w:pPr>
      <w:r>
        <w:rPr>
          <w:rFonts w:eastAsia="Times New Roman" w:cs="Times New Roman"/>
          <w:bCs/>
          <w:sz w:val="28"/>
          <w:szCs w:val="28"/>
        </w:rPr>
        <w:lastRenderedPageBreak/>
        <w:t>The Supreme Court then reversed their decision</w:t>
      </w:r>
      <w:r w:rsidR="00FE09CA">
        <w:rPr>
          <w:rFonts w:eastAsia="Times New Roman" w:cs="Times New Roman"/>
          <w:bCs/>
          <w:sz w:val="28"/>
          <w:szCs w:val="28"/>
        </w:rPr>
        <w:t xml:space="preserve"> to dismiss the appeal</w:t>
      </w:r>
      <w:r>
        <w:rPr>
          <w:rFonts w:eastAsia="Times New Roman" w:cs="Times New Roman"/>
          <w:bCs/>
          <w:sz w:val="28"/>
          <w:szCs w:val="28"/>
        </w:rPr>
        <w:t xml:space="preserve"> and allowed the appeal to move forward.  They did so </w:t>
      </w:r>
      <w:r w:rsidR="00FE09CA">
        <w:rPr>
          <w:rFonts w:eastAsia="Times New Roman" w:cs="Times New Roman"/>
          <w:bCs/>
          <w:sz w:val="28"/>
          <w:szCs w:val="28"/>
        </w:rPr>
        <w:t>while asking</w:t>
      </w:r>
      <w:r>
        <w:rPr>
          <w:rFonts w:eastAsia="Times New Roman" w:cs="Times New Roman"/>
          <w:bCs/>
          <w:sz w:val="28"/>
          <w:szCs w:val="28"/>
        </w:rPr>
        <w:t xml:space="preserve"> the parties to answer a specific question, “</w:t>
      </w:r>
      <w:r w:rsidR="00FE09CA" w:rsidRPr="00FE09CA">
        <w:rPr>
          <w:rFonts w:eastAsia="Times New Roman" w:cs="Times New Roman"/>
          <w:bCs/>
          <w:sz w:val="28"/>
          <w:szCs w:val="28"/>
        </w:rPr>
        <w:t xml:space="preserve">whether </w:t>
      </w:r>
      <w:r w:rsidR="00FE09CA">
        <w:rPr>
          <w:rFonts w:eastAsia="Times New Roman" w:cs="Times New Roman"/>
          <w:bCs/>
          <w:sz w:val="28"/>
          <w:szCs w:val="28"/>
        </w:rPr>
        <w:t>‘</w:t>
      </w:r>
      <w:r w:rsidR="00FE09CA" w:rsidRPr="00FE09CA">
        <w:rPr>
          <w:rFonts w:eastAsia="Times New Roman" w:cs="Times New Roman"/>
          <w:bCs/>
          <w:sz w:val="28"/>
          <w:szCs w:val="28"/>
        </w:rPr>
        <w:t>a pro se filing made by a defendant who is actually or presumptively represented by counsel [is] always a nullity.</w:t>
      </w:r>
      <w:r w:rsidR="00FE09CA">
        <w:rPr>
          <w:rFonts w:eastAsia="Times New Roman" w:cs="Times New Roman"/>
          <w:bCs/>
          <w:sz w:val="28"/>
          <w:szCs w:val="28"/>
        </w:rPr>
        <w:t>’</w:t>
      </w:r>
      <w:r w:rsidR="00FE09CA" w:rsidRPr="00FE09CA">
        <w:rPr>
          <w:rFonts w:eastAsia="Times New Roman" w:cs="Times New Roman"/>
          <w:bCs/>
          <w:sz w:val="28"/>
          <w:szCs w:val="28"/>
        </w:rPr>
        <w:t>”</w:t>
      </w:r>
    </w:p>
    <w:p w14:paraId="5366BF54" w14:textId="4C316D3B" w:rsidR="00FE09CA" w:rsidRDefault="00FE09CA" w:rsidP="00FE09CA">
      <w:pPr>
        <w:spacing w:after="200" w:line="480" w:lineRule="auto"/>
        <w:ind w:left="720"/>
        <w:rPr>
          <w:rFonts w:eastAsia="Times New Roman" w:cs="Times New Roman"/>
          <w:bCs/>
          <w:sz w:val="28"/>
          <w:szCs w:val="28"/>
        </w:rPr>
      </w:pPr>
      <w:r>
        <w:rPr>
          <w:rFonts w:eastAsia="Times New Roman" w:cs="Times New Roman"/>
          <w:bCs/>
          <w:sz w:val="28"/>
          <w:szCs w:val="28"/>
        </w:rPr>
        <w:t>There were several amicus briefs filed which attempted to answer that question for the court.</w:t>
      </w:r>
    </w:p>
    <w:p w14:paraId="1F38615A" w14:textId="386E397F" w:rsidR="00115545" w:rsidRDefault="00115545" w:rsidP="00115545">
      <w:pPr>
        <w:spacing w:after="200" w:line="480" w:lineRule="auto"/>
        <w:rPr>
          <w:rFonts w:eastAsia="Times New Roman" w:cs="Times New Roman"/>
          <w:bCs/>
          <w:sz w:val="28"/>
          <w:szCs w:val="28"/>
        </w:rPr>
      </w:pPr>
      <w:r>
        <w:rPr>
          <w:rFonts w:eastAsia="Times New Roman" w:cs="Times New Roman"/>
          <w:b/>
          <w:sz w:val="28"/>
          <w:szCs w:val="28"/>
        </w:rPr>
        <w:pict w14:anchorId="63CFDD6B">
          <v:rect id="_x0000_i1055" style="width:0;height:1.5pt" o:hralign="center" o:bullet="t" o:hrstd="t" o:hr="t" fillcolor="#a0a0a0" stroked="f"/>
        </w:pict>
      </w:r>
    </w:p>
    <w:p w14:paraId="28F6BCC4" w14:textId="3D099DA4" w:rsidR="00FE09CA" w:rsidRDefault="00FE09CA" w:rsidP="00FE09CA">
      <w:pPr>
        <w:spacing w:after="200" w:line="480" w:lineRule="auto"/>
        <w:rPr>
          <w:rFonts w:eastAsia="Times New Roman" w:cs="Times New Roman"/>
          <w:bCs/>
          <w:sz w:val="28"/>
          <w:szCs w:val="28"/>
        </w:rPr>
      </w:pPr>
      <w:r>
        <w:rPr>
          <w:rFonts w:eastAsia="Times New Roman" w:cs="Times New Roman"/>
          <w:bCs/>
          <w:sz w:val="28"/>
          <w:szCs w:val="28"/>
        </w:rPr>
        <w:t xml:space="preserve">So that is the factual background of the </w:t>
      </w:r>
      <w:r>
        <w:rPr>
          <w:rFonts w:eastAsia="Times New Roman" w:cs="Times New Roman"/>
          <w:bCs/>
          <w:i/>
          <w:iCs/>
          <w:sz w:val="28"/>
          <w:szCs w:val="28"/>
        </w:rPr>
        <w:t>Johnson</w:t>
      </w:r>
      <w:r>
        <w:rPr>
          <w:rFonts w:eastAsia="Times New Roman" w:cs="Times New Roman"/>
          <w:bCs/>
          <w:sz w:val="28"/>
          <w:szCs w:val="28"/>
        </w:rPr>
        <w:t xml:space="preserve"> case.  The defendant was convicted, no attorney filed a timely motion for new trial</w:t>
      </w:r>
      <w:r w:rsidR="00115545">
        <w:rPr>
          <w:rFonts w:eastAsia="Times New Roman" w:cs="Times New Roman"/>
          <w:bCs/>
          <w:sz w:val="28"/>
          <w:szCs w:val="28"/>
        </w:rPr>
        <w:t>, and he filed a “timely” pro se motion for new trial while the “presumption of continued representation” remained viable.</w:t>
      </w:r>
    </w:p>
    <w:p w14:paraId="34F167E2" w14:textId="2C0DF57A" w:rsidR="00115545" w:rsidRDefault="00115545" w:rsidP="00115545">
      <w:pPr>
        <w:spacing w:after="200" w:line="480" w:lineRule="auto"/>
        <w:ind w:left="720"/>
        <w:rPr>
          <w:rFonts w:eastAsia="Times New Roman" w:cs="Times New Roman"/>
          <w:bCs/>
          <w:sz w:val="28"/>
          <w:szCs w:val="28"/>
        </w:rPr>
      </w:pPr>
      <w:r>
        <w:rPr>
          <w:rFonts w:eastAsia="Times New Roman" w:cs="Times New Roman"/>
          <w:bCs/>
          <w:sz w:val="28"/>
          <w:szCs w:val="28"/>
        </w:rPr>
        <w:t>Stated another way, this defendant was convicted of murder, ordered to serve a sentence of life without parole and, under existing law, he could not ever get his case appealed.</w:t>
      </w:r>
    </w:p>
    <w:p w14:paraId="2E8F0B7C" w14:textId="06550788" w:rsidR="00115545" w:rsidRDefault="00115545" w:rsidP="00115545">
      <w:pPr>
        <w:spacing w:after="200" w:line="480" w:lineRule="auto"/>
        <w:rPr>
          <w:rFonts w:eastAsia="Times New Roman" w:cs="Times New Roman"/>
          <w:bCs/>
          <w:sz w:val="28"/>
          <w:szCs w:val="28"/>
        </w:rPr>
      </w:pPr>
      <w:r>
        <w:rPr>
          <w:rFonts w:eastAsia="Times New Roman" w:cs="Times New Roman"/>
          <w:b/>
          <w:sz w:val="28"/>
          <w:szCs w:val="28"/>
        </w:rPr>
        <w:pict w14:anchorId="5D6BA991">
          <v:rect id="_x0000_i1056" style="width:0;height:1.5pt" o:hralign="center" o:bullet="t" o:hrstd="t" o:hr="t" fillcolor="#a0a0a0" stroked="f"/>
        </w:pict>
      </w:r>
    </w:p>
    <w:p w14:paraId="680058A7" w14:textId="6F4458C2" w:rsidR="00115545" w:rsidRPr="00115545" w:rsidRDefault="00115545" w:rsidP="000E6359">
      <w:pPr>
        <w:keepNext/>
        <w:spacing w:after="200" w:line="480" w:lineRule="auto"/>
        <w:rPr>
          <w:rFonts w:eastAsia="Times New Roman" w:cs="Times New Roman"/>
          <w:b/>
          <w:sz w:val="28"/>
          <w:szCs w:val="28"/>
        </w:rPr>
      </w:pPr>
      <w:r w:rsidRPr="00115545">
        <w:rPr>
          <w:rFonts w:eastAsia="Times New Roman" w:cs="Times New Roman"/>
          <w:b/>
          <w:sz w:val="28"/>
          <w:szCs w:val="28"/>
        </w:rPr>
        <w:lastRenderedPageBreak/>
        <w:t xml:space="preserve">Brief reminder about </w:t>
      </w:r>
      <w:r w:rsidRPr="00115545">
        <w:rPr>
          <w:rFonts w:eastAsia="Times New Roman" w:cs="Times New Roman"/>
          <w:b/>
          <w:i/>
          <w:iCs/>
          <w:sz w:val="28"/>
          <w:szCs w:val="28"/>
        </w:rPr>
        <w:t>Cook</w:t>
      </w:r>
      <w:r w:rsidRPr="00115545">
        <w:rPr>
          <w:rFonts w:eastAsia="Times New Roman" w:cs="Times New Roman"/>
          <w:b/>
          <w:sz w:val="28"/>
          <w:szCs w:val="28"/>
        </w:rPr>
        <w:t>:</w:t>
      </w:r>
    </w:p>
    <w:p w14:paraId="183B4D87" w14:textId="2DD3EE11" w:rsidR="00FE09CA" w:rsidRDefault="00115545" w:rsidP="00FE09CA">
      <w:pPr>
        <w:spacing w:after="200" w:line="480" w:lineRule="auto"/>
        <w:rPr>
          <w:rFonts w:eastAsia="Times New Roman" w:cs="Times New Roman"/>
          <w:bCs/>
          <w:sz w:val="28"/>
          <w:szCs w:val="28"/>
        </w:rPr>
      </w:pPr>
      <w:r>
        <w:rPr>
          <w:rFonts w:eastAsia="Times New Roman" w:cs="Times New Roman"/>
          <w:bCs/>
          <w:sz w:val="28"/>
          <w:szCs w:val="28"/>
        </w:rPr>
        <w:t>Before launching into the implications of the case (which are not nearly as dire and drastic as some people have initially assumed), we need to venture off into related case law that is fairly recent.</w:t>
      </w:r>
    </w:p>
    <w:p w14:paraId="3660DDE4" w14:textId="02200929" w:rsidR="00115545" w:rsidRDefault="00115545" w:rsidP="00CF06B0">
      <w:pPr>
        <w:spacing w:after="200" w:line="480" w:lineRule="auto"/>
        <w:ind w:left="720"/>
        <w:rPr>
          <w:rFonts w:eastAsia="Times New Roman" w:cs="Times New Roman"/>
          <w:bCs/>
          <w:sz w:val="28"/>
          <w:szCs w:val="28"/>
        </w:rPr>
      </w:pPr>
      <w:r>
        <w:rPr>
          <w:rFonts w:eastAsia="Times New Roman" w:cs="Times New Roman"/>
          <w:bCs/>
          <w:sz w:val="28"/>
          <w:szCs w:val="28"/>
        </w:rPr>
        <w:t xml:space="preserve">Remember the case of </w:t>
      </w:r>
      <w:r>
        <w:rPr>
          <w:rFonts w:eastAsia="Times New Roman" w:cs="Times New Roman"/>
          <w:bCs/>
          <w:i/>
          <w:iCs/>
          <w:sz w:val="28"/>
          <w:szCs w:val="28"/>
        </w:rPr>
        <w:t>Cook v. State</w:t>
      </w:r>
      <w:r>
        <w:rPr>
          <w:rFonts w:eastAsia="Times New Roman" w:cs="Times New Roman"/>
          <w:bCs/>
          <w:sz w:val="28"/>
          <w:szCs w:val="28"/>
        </w:rPr>
        <w:t>?</w:t>
      </w:r>
      <w:r w:rsidR="00CF06B0">
        <w:rPr>
          <w:rStyle w:val="EndnoteReference"/>
          <w:rFonts w:eastAsia="Times New Roman" w:cs="Times New Roman"/>
          <w:bCs/>
          <w:szCs w:val="28"/>
        </w:rPr>
        <w:endnoteReference w:id="3"/>
      </w:r>
      <w:r w:rsidR="00CF06B0">
        <w:rPr>
          <w:rFonts w:eastAsia="Times New Roman" w:cs="Times New Roman"/>
          <w:bCs/>
          <w:sz w:val="28"/>
          <w:szCs w:val="28"/>
        </w:rPr>
        <w:t xml:space="preserve">  We have an episode about that decision but let’s revisit it for a minute.</w:t>
      </w:r>
    </w:p>
    <w:p w14:paraId="2CAA5B4C" w14:textId="402B5786" w:rsidR="00CF06B0" w:rsidRDefault="00CF06B0" w:rsidP="00CF06B0">
      <w:pPr>
        <w:spacing w:after="200" w:line="480" w:lineRule="auto"/>
        <w:rPr>
          <w:rFonts w:eastAsia="Times New Roman" w:cs="Times New Roman"/>
          <w:bCs/>
          <w:sz w:val="28"/>
          <w:szCs w:val="28"/>
        </w:rPr>
      </w:pPr>
      <w:r>
        <w:rPr>
          <w:rFonts w:eastAsia="Times New Roman" w:cs="Times New Roman"/>
          <w:bCs/>
          <w:sz w:val="28"/>
          <w:szCs w:val="28"/>
        </w:rPr>
        <w:t xml:space="preserve">Some listeners are probably asking themselves why the trial judge in </w:t>
      </w:r>
      <w:r>
        <w:rPr>
          <w:rFonts w:eastAsia="Times New Roman" w:cs="Times New Roman"/>
          <w:bCs/>
          <w:i/>
          <w:iCs/>
          <w:sz w:val="28"/>
          <w:szCs w:val="28"/>
        </w:rPr>
        <w:t>Johnson</w:t>
      </w:r>
      <w:r>
        <w:rPr>
          <w:rFonts w:eastAsia="Times New Roman" w:cs="Times New Roman"/>
          <w:bCs/>
          <w:sz w:val="28"/>
          <w:szCs w:val="28"/>
        </w:rPr>
        <w:t xml:space="preserve"> simply did not allow the defendant’s appellate lawyer to file an out-of-time appeal when it was clear that he had not been afforded a fair opportunity to appeal his conviction.</w:t>
      </w:r>
    </w:p>
    <w:p w14:paraId="59C97F7A" w14:textId="326DE351" w:rsidR="00CF06B0" w:rsidRPr="00CF06B0" w:rsidRDefault="00CF06B0" w:rsidP="00CF06B0">
      <w:pPr>
        <w:spacing w:after="200" w:line="480" w:lineRule="auto"/>
        <w:rPr>
          <w:rFonts w:eastAsia="Times New Roman" w:cs="Times New Roman"/>
          <w:bCs/>
          <w:sz w:val="28"/>
          <w:szCs w:val="28"/>
        </w:rPr>
      </w:pPr>
      <w:r>
        <w:rPr>
          <w:rFonts w:eastAsia="Times New Roman" w:cs="Times New Roman"/>
          <w:bCs/>
          <w:sz w:val="28"/>
          <w:szCs w:val="28"/>
        </w:rPr>
        <w:tab/>
        <w:t xml:space="preserve">The answer </w:t>
      </w:r>
      <w:r w:rsidR="000E6359">
        <w:rPr>
          <w:rFonts w:eastAsia="Times New Roman" w:cs="Times New Roman"/>
          <w:bCs/>
          <w:sz w:val="28"/>
          <w:szCs w:val="28"/>
        </w:rPr>
        <w:t xml:space="preserve">to that question </w:t>
      </w:r>
      <w:r>
        <w:rPr>
          <w:rFonts w:eastAsia="Times New Roman" w:cs="Times New Roman"/>
          <w:bCs/>
          <w:sz w:val="28"/>
          <w:szCs w:val="28"/>
        </w:rPr>
        <w:t xml:space="preserve">is the 2022 decision in </w:t>
      </w:r>
      <w:r>
        <w:rPr>
          <w:rFonts w:eastAsia="Times New Roman" w:cs="Times New Roman"/>
          <w:bCs/>
          <w:i/>
          <w:iCs/>
          <w:sz w:val="28"/>
          <w:szCs w:val="28"/>
        </w:rPr>
        <w:t>Cook</w:t>
      </w:r>
      <w:r>
        <w:rPr>
          <w:rFonts w:eastAsia="Times New Roman" w:cs="Times New Roman"/>
          <w:bCs/>
          <w:sz w:val="28"/>
          <w:szCs w:val="28"/>
        </w:rPr>
        <w:t>.</w:t>
      </w:r>
    </w:p>
    <w:p w14:paraId="220C217E" w14:textId="72379512" w:rsidR="00CF06B0" w:rsidRDefault="00CF06B0" w:rsidP="00CF06B0">
      <w:pPr>
        <w:spacing w:after="200" w:line="480" w:lineRule="auto"/>
        <w:rPr>
          <w:rFonts w:eastAsia="Times New Roman" w:cs="Times New Roman"/>
          <w:bCs/>
          <w:sz w:val="28"/>
          <w:szCs w:val="28"/>
        </w:rPr>
      </w:pPr>
      <w:r>
        <w:rPr>
          <w:rFonts w:eastAsia="Times New Roman" w:cs="Times New Roman"/>
          <w:bCs/>
          <w:sz w:val="28"/>
          <w:szCs w:val="28"/>
        </w:rPr>
        <w:t xml:space="preserve">The decision in </w:t>
      </w:r>
      <w:r>
        <w:rPr>
          <w:rFonts w:eastAsia="Times New Roman" w:cs="Times New Roman"/>
          <w:bCs/>
          <w:i/>
          <w:iCs/>
          <w:sz w:val="28"/>
          <w:szCs w:val="28"/>
        </w:rPr>
        <w:t>Cook</w:t>
      </w:r>
      <w:r>
        <w:rPr>
          <w:rFonts w:eastAsia="Times New Roman" w:cs="Times New Roman"/>
          <w:bCs/>
          <w:sz w:val="28"/>
          <w:szCs w:val="28"/>
        </w:rPr>
        <w:t xml:space="preserve"> essentially eliminated the right of the trial judge to grant a “motion for out-of-time appeal.”</w:t>
      </w:r>
    </w:p>
    <w:p w14:paraId="595EC0A2" w14:textId="39576A08" w:rsidR="00CF06B0" w:rsidRDefault="00CF06B0" w:rsidP="00E23181">
      <w:pPr>
        <w:spacing w:after="200" w:line="480" w:lineRule="auto"/>
        <w:ind w:left="720"/>
        <w:rPr>
          <w:rFonts w:eastAsia="Times New Roman" w:cs="Times New Roman"/>
          <w:bCs/>
          <w:sz w:val="28"/>
          <w:szCs w:val="28"/>
        </w:rPr>
      </w:pPr>
      <w:r>
        <w:rPr>
          <w:rFonts w:eastAsia="Times New Roman" w:cs="Times New Roman"/>
          <w:bCs/>
          <w:sz w:val="28"/>
          <w:szCs w:val="28"/>
        </w:rPr>
        <w:t xml:space="preserve">You may recall that </w:t>
      </w:r>
      <w:r w:rsidR="00E23181">
        <w:rPr>
          <w:rFonts w:eastAsia="Times New Roman" w:cs="Times New Roman"/>
          <w:bCs/>
          <w:sz w:val="28"/>
          <w:szCs w:val="28"/>
        </w:rPr>
        <w:t xml:space="preserve">the </w:t>
      </w:r>
      <w:r w:rsidR="00E23181">
        <w:rPr>
          <w:rFonts w:eastAsia="Times New Roman" w:cs="Times New Roman"/>
          <w:bCs/>
          <w:i/>
          <w:iCs/>
          <w:sz w:val="28"/>
          <w:szCs w:val="28"/>
        </w:rPr>
        <w:t>Cook</w:t>
      </w:r>
      <w:r w:rsidR="00E23181">
        <w:rPr>
          <w:rFonts w:eastAsia="Times New Roman" w:cs="Times New Roman"/>
          <w:bCs/>
          <w:sz w:val="28"/>
          <w:szCs w:val="28"/>
        </w:rPr>
        <w:t xml:space="preserve"> decision held that if a defendant does not file a timely notice of appeal (or a timely motion for new trial which tolls the time to file the notice of appeal), he/she cannot simply show “cause” to the trial court and be given the permission to file an out-of-time appeal.</w:t>
      </w:r>
    </w:p>
    <w:p w14:paraId="698B84C7" w14:textId="0E7BE266" w:rsidR="00E23181" w:rsidRDefault="00E23181" w:rsidP="00E23181">
      <w:pPr>
        <w:spacing w:after="200" w:line="480" w:lineRule="auto"/>
        <w:rPr>
          <w:rFonts w:eastAsia="Times New Roman" w:cs="Times New Roman"/>
          <w:bCs/>
          <w:sz w:val="28"/>
          <w:szCs w:val="28"/>
        </w:rPr>
      </w:pPr>
      <w:r>
        <w:rPr>
          <w:rFonts w:eastAsia="Times New Roman" w:cs="Times New Roman"/>
          <w:bCs/>
          <w:sz w:val="28"/>
          <w:szCs w:val="28"/>
        </w:rPr>
        <w:lastRenderedPageBreak/>
        <w:t xml:space="preserve">The </w:t>
      </w:r>
      <w:r>
        <w:rPr>
          <w:rFonts w:eastAsia="Times New Roman" w:cs="Times New Roman"/>
          <w:bCs/>
          <w:i/>
          <w:iCs/>
          <w:sz w:val="28"/>
          <w:szCs w:val="28"/>
        </w:rPr>
        <w:t>Cook</w:t>
      </w:r>
      <w:r>
        <w:rPr>
          <w:rFonts w:eastAsia="Times New Roman" w:cs="Times New Roman"/>
          <w:bCs/>
          <w:sz w:val="28"/>
          <w:szCs w:val="28"/>
        </w:rPr>
        <w:t xml:space="preserve"> decision says that if the defendant did not file a timely notice of appeal, his/her only recourse is to seek appellate review as part of a habeas corpus proceeding.</w:t>
      </w:r>
    </w:p>
    <w:p w14:paraId="41A909CB" w14:textId="06C2AB45" w:rsidR="00E23181" w:rsidRDefault="00E23181" w:rsidP="00D14E51">
      <w:pPr>
        <w:spacing w:after="200" w:line="480" w:lineRule="auto"/>
        <w:ind w:left="720"/>
        <w:rPr>
          <w:rFonts w:eastAsia="Times New Roman" w:cs="Times New Roman"/>
          <w:bCs/>
          <w:sz w:val="28"/>
          <w:szCs w:val="28"/>
        </w:rPr>
      </w:pPr>
      <w:r>
        <w:rPr>
          <w:rFonts w:eastAsia="Times New Roman" w:cs="Times New Roman"/>
          <w:bCs/>
          <w:sz w:val="28"/>
          <w:szCs w:val="28"/>
        </w:rPr>
        <w:t xml:space="preserve">But you will also recall that in a habeas corpus proceeding, the defendant does not have the right to counsel. He/she can only assert </w:t>
      </w:r>
      <w:r w:rsidR="00D14E51">
        <w:rPr>
          <w:rFonts w:eastAsia="Times New Roman" w:cs="Times New Roman"/>
          <w:bCs/>
          <w:sz w:val="28"/>
          <w:szCs w:val="28"/>
        </w:rPr>
        <w:t>constitutional</w:t>
      </w:r>
      <w:r>
        <w:rPr>
          <w:rFonts w:eastAsia="Times New Roman" w:cs="Times New Roman"/>
          <w:bCs/>
          <w:sz w:val="28"/>
          <w:szCs w:val="28"/>
        </w:rPr>
        <w:t xml:space="preserve"> violation claims</w:t>
      </w:r>
      <w:r w:rsidR="00D14E51">
        <w:rPr>
          <w:rFonts w:eastAsia="Times New Roman" w:cs="Times New Roman"/>
          <w:bCs/>
          <w:sz w:val="28"/>
          <w:szCs w:val="28"/>
        </w:rPr>
        <w:t>. And there is a four year statute of limitations.</w:t>
      </w:r>
    </w:p>
    <w:p w14:paraId="7531189B" w14:textId="5A16BF1B" w:rsidR="00D14E51" w:rsidRDefault="00D14E51" w:rsidP="00D14E51">
      <w:pPr>
        <w:spacing w:after="200" w:line="480" w:lineRule="auto"/>
        <w:rPr>
          <w:rFonts w:eastAsia="Times New Roman" w:cs="Times New Roman"/>
          <w:bCs/>
          <w:sz w:val="28"/>
          <w:szCs w:val="28"/>
        </w:rPr>
      </w:pPr>
      <w:r>
        <w:rPr>
          <w:rFonts w:eastAsia="Times New Roman" w:cs="Times New Roman"/>
          <w:bCs/>
          <w:sz w:val="28"/>
          <w:szCs w:val="28"/>
        </w:rPr>
        <w:t>Applying all of that law to Mr. Johnson, he would be out – now that 17 years had passed since his conviction.</w:t>
      </w:r>
    </w:p>
    <w:p w14:paraId="35AE6785" w14:textId="47E3007F" w:rsidR="00D14E51" w:rsidRDefault="00D14E51" w:rsidP="00D14E51">
      <w:pPr>
        <w:spacing w:after="200" w:line="480" w:lineRule="auto"/>
        <w:rPr>
          <w:rFonts w:eastAsia="Times New Roman" w:cs="Times New Roman"/>
          <w:bCs/>
          <w:sz w:val="28"/>
          <w:szCs w:val="28"/>
        </w:rPr>
      </w:pPr>
      <w:r>
        <w:rPr>
          <w:rFonts w:eastAsia="Times New Roman" w:cs="Times New Roman"/>
          <w:bCs/>
          <w:sz w:val="28"/>
          <w:szCs w:val="28"/>
        </w:rPr>
        <w:tab/>
        <w:t xml:space="preserve">Back to the decision in </w:t>
      </w:r>
      <w:r>
        <w:rPr>
          <w:rFonts w:eastAsia="Times New Roman" w:cs="Times New Roman"/>
          <w:bCs/>
          <w:i/>
          <w:iCs/>
          <w:sz w:val="28"/>
          <w:szCs w:val="28"/>
        </w:rPr>
        <w:t>Johnson</w:t>
      </w:r>
    </w:p>
    <w:p w14:paraId="6A96D277" w14:textId="2AA03C6B" w:rsidR="00D14E51" w:rsidRPr="00D14E51" w:rsidRDefault="00D14E51" w:rsidP="00D14E51">
      <w:pPr>
        <w:spacing w:after="200" w:line="480" w:lineRule="auto"/>
        <w:rPr>
          <w:rFonts w:eastAsia="Times New Roman" w:cs="Times New Roman"/>
          <w:bCs/>
          <w:sz w:val="28"/>
          <w:szCs w:val="28"/>
        </w:rPr>
      </w:pPr>
      <w:r>
        <w:rPr>
          <w:rFonts w:eastAsia="Times New Roman" w:cs="Times New Roman"/>
          <w:b/>
          <w:sz w:val="28"/>
          <w:szCs w:val="28"/>
        </w:rPr>
        <w:pict w14:anchorId="1A041B83">
          <v:rect id="_x0000_i1057" style="width:0;height:1.5pt" o:hralign="center" o:bullet="t" o:hrstd="t" o:hr="t" fillcolor="#a0a0a0" stroked="f"/>
        </w:pict>
      </w:r>
    </w:p>
    <w:p w14:paraId="2EA5A716" w14:textId="56F64B21" w:rsidR="00D14E51" w:rsidRDefault="00D14E51" w:rsidP="00D14E51">
      <w:pPr>
        <w:spacing w:after="200" w:line="480" w:lineRule="auto"/>
        <w:rPr>
          <w:rFonts w:eastAsia="Times New Roman" w:cs="Times New Roman"/>
          <w:bCs/>
          <w:sz w:val="28"/>
          <w:szCs w:val="28"/>
        </w:rPr>
      </w:pPr>
      <w:r>
        <w:rPr>
          <w:rFonts w:eastAsia="Times New Roman" w:cs="Times New Roman"/>
          <w:bCs/>
          <w:sz w:val="28"/>
          <w:szCs w:val="28"/>
        </w:rPr>
        <w:t xml:space="preserve">So the </w:t>
      </w:r>
      <w:r>
        <w:rPr>
          <w:rFonts w:eastAsia="Times New Roman" w:cs="Times New Roman"/>
          <w:bCs/>
          <w:i/>
          <w:iCs/>
          <w:sz w:val="28"/>
          <w:szCs w:val="28"/>
        </w:rPr>
        <w:t>Johnson</w:t>
      </w:r>
      <w:r>
        <w:rPr>
          <w:rFonts w:eastAsia="Times New Roman" w:cs="Times New Roman"/>
          <w:bCs/>
          <w:sz w:val="28"/>
          <w:szCs w:val="28"/>
        </w:rPr>
        <w:t xml:space="preserve"> decision points out that this defendant was really in a no win situation</w:t>
      </w:r>
    </w:p>
    <w:p w14:paraId="41AD1A0A" w14:textId="4BB9A1CD" w:rsidR="00D14E51" w:rsidRDefault="00D14E51" w:rsidP="00D14E51">
      <w:pPr>
        <w:spacing w:after="200" w:line="480" w:lineRule="auto"/>
        <w:ind w:left="720"/>
        <w:rPr>
          <w:rFonts w:eastAsia="Times New Roman" w:cs="Times New Roman"/>
          <w:bCs/>
          <w:sz w:val="28"/>
          <w:szCs w:val="28"/>
        </w:rPr>
      </w:pPr>
      <w:r>
        <w:rPr>
          <w:rFonts w:eastAsia="Times New Roman" w:cs="Times New Roman"/>
          <w:bCs/>
          <w:sz w:val="28"/>
          <w:szCs w:val="28"/>
        </w:rPr>
        <w:t xml:space="preserve">His lawyers did not file a notice of appeal or motion for new trial in a timely manner.  The defendant himself filed a document that would serve as a </w:t>
      </w:r>
      <w:r w:rsidR="00F537A1">
        <w:rPr>
          <w:rFonts w:eastAsia="Times New Roman" w:cs="Times New Roman"/>
          <w:bCs/>
          <w:sz w:val="28"/>
          <w:szCs w:val="28"/>
        </w:rPr>
        <w:t xml:space="preserve">timely motion for new trial but the “nullity rule” made him “powerless to do so.”  Finally, the </w:t>
      </w:r>
      <w:r w:rsidR="00F537A1">
        <w:rPr>
          <w:rFonts w:eastAsia="Times New Roman" w:cs="Times New Roman"/>
          <w:bCs/>
          <w:i/>
          <w:iCs/>
          <w:sz w:val="28"/>
          <w:szCs w:val="28"/>
        </w:rPr>
        <w:t>Cook</w:t>
      </w:r>
      <w:r w:rsidR="00F537A1">
        <w:rPr>
          <w:rFonts w:eastAsia="Times New Roman" w:cs="Times New Roman"/>
          <w:bCs/>
          <w:sz w:val="28"/>
          <w:szCs w:val="28"/>
        </w:rPr>
        <w:t xml:space="preserve"> decision meant that even a new appellate counsel could not “save” the situation because the defendant had never filed a habeas action.</w:t>
      </w:r>
    </w:p>
    <w:p w14:paraId="2B811169" w14:textId="4745E7D0" w:rsidR="00F537A1" w:rsidRDefault="00F537A1" w:rsidP="00F537A1">
      <w:pPr>
        <w:spacing w:after="200" w:line="480" w:lineRule="auto"/>
        <w:rPr>
          <w:rFonts w:eastAsia="Times New Roman" w:cs="Times New Roman"/>
          <w:bCs/>
          <w:sz w:val="28"/>
          <w:szCs w:val="28"/>
        </w:rPr>
      </w:pPr>
      <w:r>
        <w:rPr>
          <w:rFonts w:eastAsia="Times New Roman" w:cs="Times New Roman"/>
          <w:bCs/>
          <w:sz w:val="28"/>
          <w:szCs w:val="28"/>
        </w:rPr>
        <w:lastRenderedPageBreak/>
        <w:t>To use a more common term, he was screwed!</w:t>
      </w:r>
    </w:p>
    <w:p w14:paraId="5FDAE71C" w14:textId="2B4691E8" w:rsidR="00B823E9" w:rsidRDefault="00B823E9" w:rsidP="00F537A1">
      <w:pPr>
        <w:spacing w:after="200" w:line="480" w:lineRule="auto"/>
        <w:rPr>
          <w:rFonts w:eastAsia="Times New Roman" w:cs="Times New Roman"/>
          <w:bCs/>
          <w:sz w:val="28"/>
          <w:szCs w:val="28"/>
        </w:rPr>
      </w:pPr>
      <w:r>
        <w:rPr>
          <w:rFonts w:eastAsia="Times New Roman" w:cs="Times New Roman"/>
          <w:b/>
          <w:sz w:val="28"/>
          <w:szCs w:val="28"/>
        </w:rPr>
        <w:pict w14:anchorId="21328C8C">
          <v:rect id="_x0000_i1058" style="width:0;height:1.5pt" o:hralign="center" o:bullet="t" o:hrstd="t" o:hr="t" fillcolor="#a0a0a0" stroked="f"/>
        </w:pict>
      </w:r>
    </w:p>
    <w:p w14:paraId="5EBB2075" w14:textId="53CBBE50" w:rsidR="00F537A1" w:rsidRDefault="00F537A1" w:rsidP="00F537A1">
      <w:pPr>
        <w:spacing w:after="200" w:line="480" w:lineRule="auto"/>
        <w:rPr>
          <w:rFonts w:eastAsia="Times New Roman" w:cs="Times New Roman"/>
          <w:bCs/>
          <w:sz w:val="28"/>
          <w:szCs w:val="28"/>
        </w:rPr>
      </w:pPr>
      <w:r>
        <w:rPr>
          <w:rFonts w:eastAsia="Times New Roman" w:cs="Times New Roman"/>
          <w:bCs/>
          <w:sz w:val="28"/>
          <w:szCs w:val="28"/>
        </w:rPr>
        <w:t>Enter the decision from the Supreme Court</w:t>
      </w:r>
    </w:p>
    <w:p w14:paraId="4A50EF69" w14:textId="5BAB991E" w:rsidR="00F537A1" w:rsidRDefault="00F537A1" w:rsidP="00F537A1">
      <w:pPr>
        <w:spacing w:after="200" w:line="480" w:lineRule="auto"/>
        <w:rPr>
          <w:rFonts w:eastAsia="Times New Roman" w:cs="Times New Roman"/>
          <w:bCs/>
          <w:sz w:val="28"/>
          <w:szCs w:val="28"/>
        </w:rPr>
      </w:pPr>
      <w:r>
        <w:rPr>
          <w:rFonts w:eastAsia="Times New Roman" w:cs="Times New Roman"/>
          <w:bCs/>
          <w:sz w:val="28"/>
          <w:szCs w:val="28"/>
        </w:rPr>
        <w:tab/>
        <w:t>They found that the defendant does not have a right to hybrid representation</w:t>
      </w:r>
    </w:p>
    <w:p w14:paraId="611E09E9" w14:textId="1ACDD959" w:rsidR="00B823E9" w:rsidRDefault="00B823E9" w:rsidP="00F537A1">
      <w:pPr>
        <w:spacing w:after="200" w:line="480" w:lineRule="auto"/>
        <w:rPr>
          <w:rFonts w:eastAsia="Times New Roman" w:cs="Times New Roman"/>
          <w:bCs/>
          <w:sz w:val="28"/>
          <w:szCs w:val="28"/>
        </w:rPr>
      </w:pPr>
      <w:r>
        <w:rPr>
          <w:rFonts w:eastAsia="Times New Roman" w:cs="Times New Roman"/>
          <w:bCs/>
          <w:sz w:val="28"/>
          <w:szCs w:val="28"/>
        </w:rPr>
        <w:t xml:space="preserve">That rule IS NOT CHANGED by this decision! </w:t>
      </w:r>
      <w:r w:rsidR="008858CE">
        <w:rPr>
          <w:rFonts w:eastAsia="Times New Roman" w:cs="Times New Roman"/>
          <w:bCs/>
          <w:sz w:val="28"/>
          <w:szCs w:val="28"/>
        </w:rPr>
        <w:t>The defendant does not have a right to hybrid representation.</w:t>
      </w:r>
      <w:r>
        <w:rPr>
          <w:rFonts w:eastAsia="Times New Roman" w:cs="Times New Roman"/>
          <w:bCs/>
          <w:sz w:val="28"/>
          <w:szCs w:val="28"/>
        </w:rPr>
        <w:t xml:space="preserve"> </w:t>
      </w:r>
    </w:p>
    <w:p w14:paraId="443DCE0D" w14:textId="26CD4C05" w:rsidR="00B823E9" w:rsidRDefault="00B823E9" w:rsidP="00B823E9">
      <w:pPr>
        <w:spacing w:after="200" w:line="480" w:lineRule="auto"/>
        <w:ind w:left="720"/>
        <w:rPr>
          <w:rFonts w:eastAsia="Times New Roman" w:cs="Times New Roman"/>
          <w:bCs/>
          <w:sz w:val="28"/>
          <w:szCs w:val="28"/>
        </w:rPr>
      </w:pPr>
      <w:r>
        <w:rPr>
          <w:rFonts w:eastAsia="Times New Roman" w:cs="Times New Roman"/>
          <w:bCs/>
          <w:sz w:val="28"/>
          <w:szCs w:val="28"/>
        </w:rPr>
        <w:t xml:space="preserve">Instead, the Court noted that merely because a defendant does not have </w:t>
      </w:r>
      <w:r w:rsidRPr="008858CE">
        <w:rPr>
          <w:rFonts w:eastAsia="Times New Roman" w:cs="Times New Roman"/>
          <w:b/>
          <w:i/>
          <w:iCs/>
          <w:sz w:val="28"/>
          <w:szCs w:val="28"/>
        </w:rPr>
        <w:t>the right</w:t>
      </w:r>
      <w:r>
        <w:rPr>
          <w:rFonts w:eastAsia="Times New Roman" w:cs="Times New Roman"/>
          <w:bCs/>
          <w:sz w:val="28"/>
          <w:szCs w:val="28"/>
        </w:rPr>
        <w:t xml:space="preserve"> to hybrid representation does not mean that there is a prohibition against </w:t>
      </w:r>
      <w:r w:rsidR="008858CE">
        <w:rPr>
          <w:rFonts w:eastAsia="Times New Roman" w:cs="Times New Roman"/>
          <w:bCs/>
          <w:sz w:val="28"/>
          <w:szCs w:val="28"/>
        </w:rPr>
        <w:t>it.  H</w:t>
      </w:r>
      <w:r>
        <w:rPr>
          <w:rFonts w:eastAsia="Times New Roman" w:cs="Times New Roman"/>
          <w:bCs/>
          <w:sz w:val="28"/>
          <w:szCs w:val="28"/>
        </w:rPr>
        <w:t xml:space="preserve">ybrid representation </w:t>
      </w:r>
      <w:r w:rsidR="008858CE" w:rsidRPr="008858CE">
        <w:rPr>
          <w:rFonts w:eastAsia="Times New Roman" w:cs="Times New Roman"/>
          <w:b/>
          <w:i/>
          <w:iCs/>
          <w:sz w:val="28"/>
          <w:szCs w:val="28"/>
        </w:rPr>
        <w:t>may be</w:t>
      </w:r>
      <w:r w:rsidR="008858CE">
        <w:rPr>
          <w:rFonts w:eastAsia="Times New Roman" w:cs="Times New Roman"/>
          <w:bCs/>
          <w:sz w:val="28"/>
          <w:szCs w:val="28"/>
        </w:rPr>
        <w:t xml:space="preserve"> </w:t>
      </w:r>
      <w:r w:rsidRPr="00B823E9">
        <w:rPr>
          <w:rFonts w:eastAsia="Times New Roman" w:cs="Times New Roman"/>
          <w:b/>
          <w:i/>
          <w:iCs/>
          <w:sz w:val="28"/>
          <w:szCs w:val="28"/>
        </w:rPr>
        <w:t xml:space="preserve">allowed </w:t>
      </w:r>
      <w:r>
        <w:rPr>
          <w:rFonts w:eastAsia="Times New Roman" w:cs="Times New Roman"/>
          <w:bCs/>
          <w:sz w:val="28"/>
          <w:szCs w:val="28"/>
        </w:rPr>
        <w:t>by the trial judge</w:t>
      </w:r>
      <w:r w:rsidR="008858CE">
        <w:rPr>
          <w:rFonts w:eastAsia="Times New Roman" w:cs="Times New Roman"/>
          <w:bCs/>
          <w:sz w:val="28"/>
          <w:szCs w:val="28"/>
        </w:rPr>
        <w:t xml:space="preserve"> in the appropriate case.</w:t>
      </w:r>
    </w:p>
    <w:p w14:paraId="15AD6005" w14:textId="7CE6CBDE" w:rsidR="00B823E9" w:rsidRDefault="00B823E9" w:rsidP="00B823E9">
      <w:pPr>
        <w:spacing w:after="200" w:line="480" w:lineRule="auto"/>
        <w:rPr>
          <w:rFonts w:eastAsia="Times New Roman" w:cs="Times New Roman"/>
          <w:bCs/>
          <w:sz w:val="28"/>
          <w:szCs w:val="28"/>
        </w:rPr>
      </w:pPr>
      <w:r>
        <w:rPr>
          <w:rFonts w:eastAsia="Times New Roman" w:cs="Times New Roman"/>
          <w:bCs/>
          <w:sz w:val="28"/>
          <w:szCs w:val="28"/>
        </w:rPr>
        <w:t>Let’s say that again – merely because the defendant does not have a right to represent himself while he is simultaneously being represented by counsel does not mean it is prohibited</w:t>
      </w:r>
    </w:p>
    <w:p w14:paraId="3D280979" w14:textId="2CEA191C" w:rsidR="00B823E9" w:rsidRDefault="00B823E9" w:rsidP="00B823E9">
      <w:pPr>
        <w:spacing w:after="200" w:line="480" w:lineRule="auto"/>
        <w:ind w:left="720"/>
        <w:rPr>
          <w:rFonts w:eastAsia="Times New Roman" w:cs="Times New Roman"/>
          <w:bCs/>
          <w:sz w:val="28"/>
          <w:szCs w:val="28"/>
        </w:rPr>
      </w:pPr>
      <w:r>
        <w:rPr>
          <w:rFonts w:eastAsia="Times New Roman" w:cs="Times New Roman"/>
          <w:bCs/>
          <w:sz w:val="28"/>
          <w:szCs w:val="28"/>
        </w:rPr>
        <w:t>Instead, the Court notes, it is up to the trial judge whether to allow hybrid representation, where appropriate.</w:t>
      </w:r>
    </w:p>
    <w:p w14:paraId="2BD210FA" w14:textId="68859AD5" w:rsidR="008858CE" w:rsidRDefault="008858CE" w:rsidP="008858CE">
      <w:pPr>
        <w:spacing w:after="200" w:line="480" w:lineRule="auto"/>
        <w:rPr>
          <w:rFonts w:eastAsia="Times New Roman" w:cs="Times New Roman"/>
          <w:bCs/>
          <w:sz w:val="28"/>
          <w:szCs w:val="28"/>
        </w:rPr>
      </w:pPr>
      <w:r>
        <w:rPr>
          <w:rFonts w:eastAsia="Times New Roman" w:cs="Times New Roman"/>
          <w:bCs/>
          <w:sz w:val="28"/>
          <w:szCs w:val="28"/>
        </w:rPr>
        <w:lastRenderedPageBreak/>
        <w:t>In their language, the Supreme Court held that “our decisions [that] support an absolute rule against recognizing a pro se filing by a counseled defendant” were “just wrong.”</w:t>
      </w:r>
    </w:p>
    <w:p w14:paraId="6891C9B9" w14:textId="7D8DE2C6" w:rsidR="00C342BC" w:rsidRDefault="00C342BC" w:rsidP="00C342BC">
      <w:pPr>
        <w:spacing w:after="200" w:line="480" w:lineRule="auto"/>
        <w:ind w:left="720"/>
        <w:rPr>
          <w:rFonts w:eastAsia="Times New Roman" w:cs="Times New Roman"/>
          <w:bCs/>
          <w:sz w:val="28"/>
          <w:szCs w:val="28"/>
        </w:rPr>
      </w:pPr>
      <w:r>
        <w:rPr>
          <w:rFonts w:eastAsia="Times New Roman" w:cs="Times New Roman"/>
          <w:bCs/>
          <w:sz w:val="28"/>
          <w:szCs w:val="28"/>
        </w:rPr>
        <w:t>In summary, they said, “a court has the discretion to recognize a timely and otherwise procedurally proper pro se filing made by a defendant who is still formally represented by counsel.”</w:t>
      </w:r>
    </w:p>
    <w:p w14:paraId="4741C648" w14:textId="598CBD65" w:rsidR="00EB5AE0" w:rsidRDefault="00EB5AE0" w:rsidP="00EB5AE0">
      <w:pPr>
        <w:spacing w:after="200" w:line="480" w:lineRule="auto"/>
        <w:rPr>
          <w:rFonts w:eastAsia="Times New Roman" w:cs="Times New Roman"/>
          <w:bCs/>
          <w:sz w:val="28"/>
          <w:szCs w:val="28"/>
        </w:rPr>
      </w:pPr>
      <w:r>
        <w:rPr>
          <w:rFonts w:eastAsia="Times New Roman" w:cs="Times New Roman"/>
          <w:b/>
          <w:sz w:val="28"/>
          <w:szCs w:val="28"/>
        </w:rPr>
        <w:pict w14:anchorId="7825B48F">
          <v:rect id="_x0000_i1059" style="width:0;height:1.5pt" o:hralign="center" o:bullet="t" o:hrstd="t" o:hr="t" fillcolor="#a0a0a0" stroked="f"/>
        </w:pict>
      </w:r>
    </w:p>
    <w:p w14:paraId="0FE54DD5" w14:textId="430C32B5" w:rsidR="00C342BC" w:rsidRDefault="00C342BC" w:rsidP="00C342BC">
      <w:pPr>
        <w:spacing w:after="200" w:line="480" w:lineRule="auto"/>
        <w:rPr>
          <w:rFonts w:eastAsia="Times New Roman" w:cs="Times New Roman"/>
          <w:bCs/>
          <w:sz w:val="28"/>
          <w:szCs w:val="28"/>
        </w:rPr>
      </w:pPr>
      <w:r>
        <w:rPr>
          <w:rFonts w:eastAsia="Times New Roman" w:cs="Times New Roman"/>
          <w:bCs/>
          <w:sz w:val="28"/>
          <w:szCs w:val="28"/>
        </w:rPr>
        <w:t>In essence, the</w:t>
      </w:r>
      <w:r w:rsidR="00EB5AE0">
        <w:rPr>
          <w:rFonts w:eastAsia="Times New Roman" w:cs="Times New Roman"/>
          <w:bCs/>
          <w:sz w:val="28"/>
          <w:szCs w:val="28"/>
        </w:rPr>
        <w:t xml:space="preserve"> Court </w:t>
      </w:r>
      <w:r>
        <w:rPr>
          <w:rFonts w:eastAsia="Times New Roman" w:cs="Times New Roman"/>
          <w:bCs/>
          <w:sz w:val="28"/>
          <w:szCs w:val="28"/>
        </w:rPr>
        <w:t>abandoned an absolute rule that allows trial judges to prevent gross miscarriages of justice when the defendant actually filed something that looks like a timely motion</w:t>
      </w:r>
      <w:r w:rsidR="00EB5AE0">
        <w:rPr>
          <w:rFonts w:eastAsia="Times New Roman" w:cs="Times New Roman"/>
          <w:bCs/>
          <w:sz w:val="28"/>
          <w:szCs w:val="28"/>
        </w:rPr>
        <w:t xml:space="preserve"> for new trial or appeal.</w:t>
      </w:r>
    </w:p>
    <w:p w14:paraId="460228D6" w14:textId="03B77859" w:rsidR="00EB5AE0" w:rsidRDefault="00EB5AE0" w:rsidP="00EB5AE0">
      <w:pPr>
        <w:spacing w:after="200" w:line="480" w:lineRule="auto"/>
        <w:ind w:left="720"/>
        <w:rPr>
          <w:rFonts w:eastAsia="Times New Roman" w:cs="Times New Roman"/>
          <w:bCs/>
          <w:sz w:val="28"/>
          <w:szCs w:val="28"/>
        </w:rPr>
      </w:pPr>
      <w:r>
        <w:rPr>
          <w:rFonts w:eastAsia="Times New Roman" w:cs="Times New Roman"/>
          <w:bCs/>
          <w:sz w:val="28"/>
          <w:szCs w:val="28"/>
        </w:rPr>
        <w:t>Then the Court said something that we hope will allow all of our judge listeners who became apoplectic when this decision first came out to breathe a sigh of relief (and this is important)</w:t>
      </w:r>
    </w:p>
    <w:p w14:paraId="2AA23032" w14:textId="7B26789B" w:rsidR="00DC7C6F" w:rsidRDefault="00EB5AE0" w:rsidP="00EB5AE0">
      <w:pPr>
        <w:spacing w:after="200" w:line="480" w:lineRule="auto"/>
        <w:rPr>
          <w:rFonts w:eastAsia="Times New Roman" w:cs="Times New Roman"/>
          <w:bCs/>
          <w:sz w:val="28"/>
          <w:szCs w:val="28"/>
        </w:rPr>
      </w:pPr>
      <w:r>
        <w:rPr>
          <w:rFonts w:eastAsia="Times New Roman" w:cs="Times New Roman"/>
          <w:bCs/>
          <w:sz w:val="28"/>
          <w:szCs w:val="28"/>
        </w:rPr>
        <w:t>“Given the logistical and legal problems hybrid representation can cause, we expect that courts will exercise this discretion only rarely, as when trial counsel has failed to act within the prescribed time period to preserve the defendant’s right to appeal and a pro se filing would preserve that right.</w:t>
      </w:r>
      <w:r w:rsidR="00741D72">
        <w:rPr>
          <w:rFonts w:eastAsia="Times New Roman" w:cs="Times New Roman"/>
          <w:bCs/>
          <w:sz w:val="28"/>
          <w:szCs w:val="28"/>
        </w:rPr>
        <w:t xml:space="preserve">  And when a court chooses to </w:t>
      </w:r>
      <w:r w:rsidR="00741D72">
        <w:rPr>
          <w:rFonts w:eastAsia="Times New Roman" w:cs="Times New Roman"/>
          <w:bCs/>
          <w:sz w:val="28"/>
          <w:szCs w:val="28"/>
        </w:rPr>
        <w:lastRenderedPageBreak/>
        <w:t>recognize such a filing, it should make that exercise of discretion clear on the record.”</w:t>
      </w:r>
    </w:p>
    <w:p w14:paraId="0DEDBB70" w14:textId="716C67E1" w:rsidR="00DC7C6F" w:rsidRDefault="00DC7C6F" w:rsidP="00EB5AE0">
      <w:pPr>
        <w:spacing w:after="200" w:line="480" w:lineRule="auto"/>
        <w:rPr>
          <w:rFonts w:eastAsia="Times New Roman" w:cs="Times New Roman"/>
          <w:bCs/>
          <w:sz w:val="28"/>
          <w:szCs w:val="28"/>
        </w:rPr>
      </w:pPr>
      <w:r>
        <w:rPr>
          <w:rFonts w:eastAsia="Times New Roman" w:cs="Times New Roman"/>
          <w:b/>
          <w:sz w:val="28"/>
          <w:szCs w:val="28"/>
        </w:rPr>
        <w:pict w14:anchorId="7AC4F809">
          <v:rect id="_x0000_i1061" style="width:0;height:1.5pt" o:hralign="center" o:bullet="t" o:hrstd="t" o:hr="t" fillcolor="#a0a0a0" stroked="f"/>
        </w:pict>
      </w:r>
    </w:p>
    <w:p w14:paraId="34733DBE" w14:textId="1E206FC1" w:rsidR="00DC7C6F" w:rsidRDefault="00DC7C6F" w:rsidP="00EB5AE0">
      <w:pPr>
        <w:spacing w:after="200" w:line="480" w:lineRule="auto"/>
        <w:rPr>
          <w:rFonts w:eastAsia="Times New Roman" w:cs="Times New Roman"/>
          <w:bCs/>
          <w:sz w:val="28"/>
          <w:szCs w:val="28"/>
        </w:rPr>
      </w:pPr>
      <w:r>
        <w:rPr>
          <w:rFonts w:eastAsia="Times New Roman" w:cs="Times New Roman"/>
          <w:bCs/>
          <w:sz w:val="28"/>
          <w:szCs w:val="28"/>
        </w:rPr>
        <w:t>The decision is very interesting and contains some really interesting points of law relating to how Georgia’s constitution differs from the US Constitution on points relevant to this case.</w:t>
      </w:r>
    </w:p>
    <w:p w14:paraId="5D6C12CF" w14:textId="6910B615" w:rsidR="00A322AD" w:rsidRDefault="00A322AD" w:rsidP="00A322AD">
      <w:pPr>
        <w:spacing w:after="200" w:line="480" w:lineRule="auto"/>
        <w:ind w:left="720"/>
        <w:rPr>
          <w:rFonts w:eastAsia="Times New Roman" w:cs="Times New Roman"/>
          <w:bCs/>
          <w:sz w:val="28"/>
          <w:szCs w:val="28"/>
        </w:rPr>
      </w:pPr>
      <w:r>
        <w:rPr>
          <w:rFonts w:eastAsia="Times New Roman" w:cs="Times New Roman"/>
          <w:bCs/>
          <w:sz w:val="28"/>
          <w:szCs w:val="28"/>
        </w:rPr>
        <w:t>And how later versions of Georgia’s constitution changed the language that is similar to the 6</w:t>
      </w:r>
      <w:r w:rsidRPr="00A322AD">
        <w:rPr>
          <w:rFonts w:eastAsia="Times New Roman" w:cs="Times New Roman"/>
          <w:bCs/>
          <w:sz w:val="28"/>
          <w:szCs w:val="28"/>
          <w:vertAlign w:val="superscript"/>
        </w:rPr>
        <w:t>th</w:t>
      </w:r>
      <w:r>
        <w:rPr>
          <w:rFonts w:eastAsia="Times New Roman" w:cs="Times New Roman"/>
          <w:bCs/>
          <w:sz w:val="28"/>
          <w:szCs w:val="28"/>
        </w:rPr>
        <w:t xml:space="preserve"> Amendment to the US Constitution to effectively remove the “right” to hybrid representation</w:t>
      </w:r>
    </w:p>
    <w:p w14:paraId="56D4E7D1" w14:textId="73F28DF7" w:rsidR="00DC7C6F" w:rsidRDefault="00DC7C6F" w:rsidP="00A322AD">
      <w:pPr>
        <w:spacing w:after="200" w:line="480" w:lineRule="auto"/>
        <w:rPr>
          <w:rFonts w:eastAsia="Times New Roman" w:cs="Times New Roman"/>
          <w:bCs/>
          <w:sz w:val="28"/>
          <w:szCs w:val="28"/>
        </w:rPr>
      </w:pPr>
      <w:r>
        <w:rPr>
          <w:rFonts w:eastAsia="Times New Roman" w:cs="Times New Roman"/>
          <w:bCs/>
          <w:sz w:val="28"/>
          <w:szCs w:val="28"/>
        </w:rPr>
        <w:t xml:space="preserve">In a different setting, examining all of the remainder of the case would be really valuable – but for the purposes of a podcast episode, we want to go in a different direction – the practical realities of the </w:t>
      </w:r>
      <w:r>
        <w:rPr>
          <w:rFonts w:eastAsia="Times New Roman" w:cs="Times New Roman"/>
          <w:bCs/>
          <w:i/>
          <w:iCs/>
          <w:sz w:val="28"/>
          <w:szCs w:val="28"/>
        </w:rPr>
        <w:t>Johnson</w:t>
      </w:r>
      <w:r>
        <w:rPr>
          <w:rFonts w:eastAsia="Times New Roman" w:cs="Times New Roman"/>
          <w:bCs/>
          <w:sz w:val="28"/>
          <w:szCs w:val="28"/>
        </w:rPr>
        <w:t xml:space="preserve"> decision.</w:t>
      </w:r>
    </w:p>
    <w:p w14:paraId="3B3D41A7" w14:textId="4664D779" w:rsidR="00A322AD" w:rsidRDefault="00A322AD" w:rsidP="00A322AD">
      <w:pPr>
        <w:spacing w:after="200" w:line="480" w:lineRule="auto"/>
        <w:rPr>
          <w:rFonts w:eastAsia="Times New Roman" w:cs="Times New Roman"/>
          <w:bCs/>
          <w:sz w:val="28"/>
          <w:szCs w:val="28"/>
        </w:rPr>
      </w:pPr>
      <w:r>
        <w:rPr>
          <w:rFonts w:eastAsia="Times New Roman" w:cs="Times New Roman"/>
          <w:b/>
          <w:sz w:val="28"/>
          <w:szCs w:val="28"/>
        </w:rPr>
        <w:pict w14:anchorId="6F4BB4D2">
          <v:rect id="_x0000_i1062" style="width:0;height:1.5pt" o:hralign="center" o:bullet="t" o:hrstd="t" o:hr="t" fillcolor="#a0a0a0" stroked="f"/>
        </w:pict>
      </w:r>
    </w:p>
    <w:p w14:paraId="705BFE35" w14:textId="4F623ECA" w:rsidR="00A322AD" w:rsidRDefault="00A322AD" w:rsidP="00A322AD">
      <w:pPr>
        <w:spacing w:after="200" w:line="480" w:lineRule="auto"/>
        <w:rPr>
          <w:rFonts w:eastAsia="Times New Roman" w:cs="Times New Roman"/>
          <w:bCs/>
          <w:sz w:val="28"/>
          <w:szCs w:val="28"/>
        </w:rPr>
      </w:pPr>
      <w:r>
        <w:rPr>
          <w:rFonts w:eastAsia="Times New Roman" w:cs="Times New Roman"/>
          <w:bCs/>
          <w:sz w:val="28"/>
          <w:szCs w:val="28"/>
        </w:rPr>
        <w:t>Judges routinely receive what is commonly referred to as “jail mail.”  A defendant writes lengthy letters to the Court about any number of issues</w:t>
      </w:r>
      <w:r w:rsidR="00977950">
        <w:rPr>
          <w:rFonts w:eastAsia="Times New Roman" w:cs="Times New Roman"/>
          <w:bCs/>
          <w:sz w:val="28"/>
          <w:szCs w:val="28"/>
        </w:rPr>
        <w:t xml:space="preserve"> (This issue was the first thing that came to mind when this decision came out)</w:t>
      </w:r>
    </w:p>
    <w:p w14:paraId="2D62FB21" w14:textId="6F4C7A96" w:rsidR="00A322AD" w:rsidRDefault="00A322AD" w:rsidP="00517AB4">
      <w:pPr>
        <w:spacing w:after="200" w:line="480" w:lineRule="auto"/>
        <w:ind w:left="720"/>
        <w:rPr>
          <w:rFonts w:eastAsia="Times New Roman" w:cs="Times New Roman"/>
          <w:bCs/>
          <w:sz w:val="28"/>
          <w:szCs w:val="28"/>
        </w:rPr>
      </w:pPr>
      <w:r>
        <w:rPr>
          <w:rFonts w:eastAsia="Times New Roman" w:cs="Times New Roman"/>
          <w:bCs/>
          <w:sz w:val="28"/>
          <w:szCs w:val="28"/>
        </w:rPr>
        <w:lastRenderedPageBreak/>
        <w:t xml:space="preserve">Some judges have a pattern response which notes that the defendant is represented by counsel and that the “filing” </w:t>
      </w:r>
      <w:r w:rsidR="00977950">
        <w:rPr>
          <w:rFonts w:eastAsia="Times New Roman" w:cs="Times New Roman"/>
          <w:bCs/>
          <w:sz w:val="28"/>
          <w:szCs w:val="28"/>
        </w:rPr>
        <w:t xml:space="preserve">by the represented defendant </w:t>
      </w:r>
      <w:r>
        <w:rPr>
          <w:rFonts w:eastAsia="Times New Roman" w:cs="Times New Roman"/>
          <w:bCs/>
          <w:sz w:val="28"/>
          <w:szCs w:val="28"/>
        </w:rPr>
        <w:t>is a nullity</w:t>
      </w:r>
    </w:p>
    <w:p w14:paraId="6B15A749" w14:textId="3CF6A198" w:rsidR="00517AB4" w:rsidRDefault="00517AB4" w:rsidP="00517AB4">
      <w:pPr>
        <w:spacing w:after="200" w:line="480" w:lineRule="auto"/>
        <w:rPr>
          <w:rFonts w:eastAsia="Times New Roman" w:cs="Times New Roman"/>
          <w:bCs/>
          <w:sz w:val="28"/>
          <w:szCs w:val="28"/>
        </w:rPr>
      </w:pPr>
      <w:r>
        <w:rPr>
          <w:rFonts w:eastAsia="Times New Roman" w:cs="Times New Roman"/>
          <w:bCs/>
          <w:sz w:val="28"/>
          <w:szCs w:val="28"/>
        </w:rPr>
        <w:t xml:space="preserve">Nothing in the </w:t>
      </w:r>
      <w:r>
        <w:rPr>
          <w:rFonts w:eastAsia="Times New Roman" w:cs="Times New Roman"/>
          <w:bCs/>
          <w:i/>
          <w:iCs/>
          <w:sz w:val="28"/>
          <w:szCs w:val="28"/>
        </w:rPr>
        <w:t xml:space="preserve">Johnson </w:t>
      </w:r>
      <w:r>
        <w:rPr>
          <w:rFonts w:eastAsia="Times New Roman" w:cs="Times New Roman"/>
          <w:bCs/>
          <w:sz w:val="28"/>
          <w:szCs w:val="28"/>
        </w:rPr>
        <w:t xml:space="preserve">decisions changes that fact – UNLESS the judge reads the letter/filing and decides that the defendant is asserting something that would otherwise be time barred or which needs to be addressed – and, for whatever reason, the </w:t>
      </w:r>
      <w:r w:rsidR="00977950">
        <w:rPr>
          <w:rFonts w:eastAsia="Times New Roman" w:cs="Times New Roman"/>
          <w:bCs/>
          <w:sz w:val="28"/>
          <w:szCs w:val="28"/>
        </w:rPr>
        <w:t>defendant’s lawyer failed to address the issue…</w:t>
      </w:r>
    </w:p>
    <w:p w14:paraId="5CA21537" w14:textId="1E039C68" w:rsidR="00977950" w:rsidRDefault="00977950" w:rsidP="00517AB4">
      <w:pPr>
        <w:spacing w:after="200" w:line="480" w:lineRule="auto"/>
        <w:rPr>
          <w:rFonts w:eastAsia="Times New Roman" w:cs="Times New Roman"/>
          <w:bCs/>
          <w:sz w:val="28"/>
          <w:szCs w:val="28"/>
        </w:rPr>
      </w:pPr>
      <w:r>
        <w:rPr>
          <w:rFonts w:eastAsia="Times New Roman" w:cs="Times New Roman"/>
          <w:b/>
          <w:sz w:val="28"/>
          <w:szCs w:val="28"/>
        </w:rPr>
        <w:pict w14:anchorId="420391F8">
          <v:rect id="_x0000_i1063" style="width:0;height:1.5pt" o:hralign="center" o:bullet="t" o:hrstd="t" o:hr="t" fillcolor="#a0a0a0" stroked="f"/>
        </w:pict>
      </w:r>
    </w:p>
    <w:p w14:paraId="15793190" w14:textId="212FC982" w:rsidR="00977950" w:rsidRDefault="00977950" w:rsidP="00517AB4">
      <w:pPr>
        <w:spacing w:after="200" w:line="480" w:lineRule="auto"/>
        <w:rPr>
          <w:rFonts w:eastAsia="Times New Roman" w:cs="Times New Roman"/>
          <w:bCs/>
          <w:sz w:val="28"/>
          <w:szCs w:val="28"/>
        </w:rPr>
      </w:pPr>
      <w:r>
        <w:rPr>
          <w:rFonts w:eastAsia="Times New Roman" w:cs="Times New Roman"/>
          <w:bCs/>
          <w:sz w:val="28"/>
          <w:szCs w:val="28"/>
        </w:rPr>
        <w:t>The next thing that came to mind was pro se statutory speedy trial demands.</w:t>
      </w:r>
    </w:p>
    <w:p w14:paraId="41523C52" w14:textId="0B93F5EF" w:rsidR="00977950" w:rsidRDefault="00977950" w:rsidP="00977950">
      <w:pPr>
        <w:spacing w:after="200" w:line="480" w:lineRule="auto"/>
        <w:ind w:left="720"/>
        <w:rPr>
          <w:rFonts w:eastAsia="Times New Roman" w:cs="Times New Roman"/>
          <w:bCs/>
          <w:sz w:val="28"/>
          <w:szCs w:val="28"/>
        </w:rPr>
      </w:pPr>
      <w:r>
        <w:rPr>
          <w:rFonts w:eastAsia="Times New Roman" w:cs="Times New Roman"/>
          <w:bCs/>
          <w:sz w:val="28"/>
          <w:szCs w:val="28"/>
        </w:rPr>
        <w:t>I cannot begin to estimate the number of those that I/we have seen over the years</w:t>
      </w:r>
    </w:p>
    <w:p w14:paraId="464E957C" w14:textId="2B6C01D8" w:rsidR="00977950" w:rsidRDefault="00977950" w:rsidP="00977950">
      <w:pPr>
        <w:spacing w:after="200" w:line="480" w:lineRule="auto"/>
        <w:rPr>
          <w:rFonts w:eastAsia="Times New Roman" w:cs="Times New Roman"/>
          <w:bCs/>
          <w:sz w:val="28"/>
          <w:szCs w:val="28"/>
        </w:rPr>
      </w:pPr>
      <w:r>
        <w:rPr>
          <w:rFonts w:eastAsia="Times New Roman" w:cs="Times New Roman"/>
          <w:bCs/>
          <w:sz w:val="28"/>
          <w:szCs w:val="28"/>
        </w:rPr>
        <w:t>UNLESS THE COURT EXERCISES DISCRTION TO ALLOW THAT FILING, a pro se motion for speedy trial demand made while the defendant is simultaneously represented by counsel need not be given effect.</w:t>
      </w:r>
    </w:p>
    <w:p w14:paraId="698F95CB" w14:textId="348FA57A" w:rsidR="00B71441" w:rsidRDefault="00B71441" w:rsidP="00B71441">
      <w:pPr>
        <w:spacing w:after="200" w:line="480" w:lineRule="auto"/>
        <w:ind w:left="720"/>
        <w:rPr>
          <w:rFonts w:eastAsia="Times New Roman" w:cs="Times New Roman"/>
          <w:bCs/>
          <w:sz w:val="28"/>
          <w:szCs w:val="28"/>
        </w:rPr>
      </w:pPr>
      <w:r>
        <w:rPr>
          <w:rFonts w:eastAsia="Times New Roman" w:cs="Times New Roman"/>
          <w:bCs/>
          <w:sz w:val="28"/>
          <w:szCs w:val="28"/>
        </w:rPr>
        <w:t xml:space="preserve">But, judges who use pattern responses to jail mail, pro se motions and similar filings need to rethink their response.  It is no longer sufficient, in my mind, to simply cite one of the dozens of cases that have held that such a </w:t>
      </w:r>
      <w:r>
        <w:rPr>
          <w:rFonts w:eastAsia="Times New Roman" w:cs="Times New Roman"/>
          <w:bCs/>
          <w:sz w:val="28"/>
          <w:szCs w:val="28"/>
        </w:rPr>
        <w:lastRenderedPageBreak/>
        <w:t>filing is a legal nullity and, instead, indicate that the court is declining to exercise its discretion to allow for hybrid representation</w:t>
      </w:r>
      <w:r w:rsidR="00DC32E5">
        <w:rPr>
          <w:rFonts w:eastAsia="Times New Roman" w:cs="Times New Roman"/>
          <w:bCs/>
          <w:sz w:val="28"/>
          <w:szCs w:val="28"/>
        </w:rPr>
        <w:t xml:space="preserve"> – citing </w:t>
      </w:r>
      <w:r w:rsidR="00DC32E5">
        <w:rPr>
          <w:rFonts w:eastAsia="Times New Roman" w:cs="Times New Roman"/>
          <w:bCs/>
          <w:i/>
          <w:iCs/>
          <w:sz w:val="28"/>
          <w:szCs w:val="28"/>
        </w:rPr>
        <w:t>Johnson</w:t>
      </w:r>
      <w:r w:rsidR="00DC32E5">
        <w:rPr>
          <w:rFonts w:eastAsia="Times New Roman" w:cs="Times New Roman"/>
          <w:bCs/>
          <w:sz w:val="28"/>
          <w:szCs w:val="28"/>
        </w:rPr>
        <w:t>.</w:t>
      </w:r>
    </w:p>
    <w:p w14:paraId="05CC181C" w14:textId="7EBD0F86" w:rsidR="00DC32E5" w:rsidRDefault="00DC32E5" w:rsidP="00DC32E5">
      <w:pPr>
        <w:spacing w:after="200" w:line="480" w:lineRule="auto"/>
        <w:rPr>
          <w:rFonts w:eastAsia="Times New Roman" w:cs="Times New Roman"/>
          <w:bCs/>
          <w:sz w:val="28"/>
          <w:szCs w:val="28"/>
        </w:rPr>
      </w:pPr>
      <w:r>
        <w:rPr>
          <w:rFonts w:eastAsia="Times New Roman" w:cs="Times New Roman"/>
          <w:b/>
          <w:sz w:val="28"/>
          <w:szCs w:val="28"/>
        </w:rPr>
        <w:pict w14:anchorId="729950C8">
          <v:rect id="_x0000_i1064" style="width:0;height:1.5pt" o:hralign="center" o:bullet="t" o:hrstd="t" o:hr="t" fillcolor="#a0a0a0" stroked="f"/>
        </w:pict>
      </w:r>
    </w:p>
    <w:p w14:paraId="0146D676" w14:textId="2E1AC7A7" w:rsidR="00DC32E5" w:rsidRDefault="00DC32E5" w:rsidP="00DC32E5">
      <w:pPr>
        <w:spacing w:after="200" w:line="480" w:lineRule="auto"/>
        <w:rPr>
          <w:rFonts w:eastAsia="Times New Roman" w:cs="Times New Roman"/>
          <w:bCs/>
          <w:sz w:val="28"/>
          <w:szCs w:val="28"/>
        </w:rPr>
      </w:pPr>
      <w:r>
        <w:rPr>
          <w:rFonts w:eastAsia="Times New Roman" w:cs="Times New Roman"/>
          <w:bCs/>
          <w:sz w:val="28"/>
          <w:szCs w:val="28"/>
        </w:rPr>
        <w:t xml:space="preserve">Finally, the </w:t>
      </w:r>
      <w:r>
        <w:rPr>
          <w:rFonts w:eastAsia="Times New Roman" w:cs="Times New Roman"/>
          <w:bCs/>
          <w:i/>
          <w:iCs/>
          <w:sz w:val="28"/>
          <w:szCs w:val="28"/>
        </w:rPr>
        <w:t>Johnson</w:t>
      </w:r>
      <w:r>
        <w:rPr>
          <w:rFonts w:eastAsia="Times New Roman" w:cs="Times New Roman"/>
          <w:bCs/>
          <w:sz w:val="28"/>
          <w:szCs w:val="28"/>
        </w:rPr>
        <w:t xml:space="preserve"> decision does not allow a represented defendant to decide he/she wants to make closing arguments during trial (or take on any other role in his/her trial)</w:t>
      </w:r>
    </w:p>
    <w:p w14:paraId="546A1B2C" w14:textId="713DEDF6" w:rsidR="00DC32E5" w:rsidRPr="00DC32E5" w:rsidRDefault="00DC32E5" w:rsidP="00DC32E5">
      <w:pPr>
        <w:spacing w:after="200" w:line="480" w:lineRule="auto"/>
        <w:ind w:left="720"/>
        <w:rPr>
          <w:rFonts w:eastAsia="Times New Roman" w:cs="Times New Roman"/>
          <w:bCs/>
          <w:sz w:val="28"/>
          <w:szCs w:val="28"/>
        </w:rPr>
      </w:pPr>
      <w:r>
        <w:rPr>
          <w:rFonts w:eastAsia="Times New Roman" w:cs="Times New Roman"/>
          <w:bCs/>
          <w:sz w:val="28"/>
          <w:szCs w:val="28"/>
        </w:rPr>
        <w:t xml:space="preserve">Remember judges, when that occurs, citing the old case law that forbids hybrid representation is not the correct response after </w:t>
      </w:r>
      <w:r>
        <w:rPr>
          <w:rFonts w:eastAsia="Times New Roman" w:cs="Times New Roman"/>
          <w:bCs/>
          <w:i/>
          <w:iCs/>
          <w:sz w:val="28"/>
          <w:szCs w:val="28"/>
        </w:rPr>
        <w:t>Johnson</w:t>
      </w:r>
      <w:r>
        <w:rPr>
          <w:rFonts w:eastAsia="Times New Roman" w:cs="Times New Roman"/>
          <w:bCs/>
          <w:sz w:val="28"/>
          <w:szCs w:val="28"/>
        </w:rPr>
        <w:t>.</w:t>
      </w:r>
      <w:r w:rsidR="007B76F2">
        <w:rPr>
          <w:rStyle w:val="EndnoteReference"/>
          <w:rFonts w:eastAsia="Times New Roman" w:cs="Times New Roman"/>
          <w:bCs/>
          <w:szCs w:val="28"/>
        </w:rPr>
        <w:endnoteReference w:id="4"/>
      </w:r>
      <w:r>
        <w:rPr>
          <w:rFonts w:eastAsia="Times New Roman" w:cs="Times New Roman"/>
          <w:bCs/>
          <w:sz w:val="28"/>
          <w:szCs w:val="28"/>
        </w:rPr>
        <w:t xml:space="preserve">  Instead, the judge needs to use some additional words and find that he/she is not exercising discretion to allow for hybrid representation – assuming that is what you find is appropriate</w:t>
      </w:r>
    </w:p>
    <w:p w14:paraId="48EAC23C" w14:textId="712A445F" w:rsidR="00EB5AE0" w:rsidRPr="00F537A1" w:rsidRDefault="00EB5AE0" w:rsidP="00C342BC">
      <w:pPr>
        <w:spacing w:after="200" w:line="480" w:lineRule="auto"/>
        <w:rPr>
          <w:rFonts w:eastAsia="Times New Roman" w:cs="Times New Roman"/>
          <w:bCs/>
          <w:sz w:val="28"/>
          <w:szCs w:val="28"/>
        </w:rPr>
      </w:pPr>
      <w:r>
        <w:rPr>
          <w:rFonts w:eastAsia="Times New Roman" w:cs="Times New Roman"/>
          <w:bCs/>
          <w:sz w:val="28"/>
          <w:szCs w:val="28"/>
        </w:rPr>
        <w:tab/>
      </w:r>
    </w:p>
    <w:p w14:paraId="67694C74" w14:textId="1636D8A8" w:rsidR="00D14E51" w:rsidRPr="00D14E51" w:rsidRDefault="00D14E51" w:rsidP="00D14E51">
      <w:pPr>
        <w:spacing w:after="200" w:line="480" w:lineRule="auto"/>
        <w:rPr>
          <w:rFonts w:eastAsia="Times New Roman" w:cs="Times New Roman"/>
          <w:bCs/>
          <w:sz w:val="28"/>
          <w:szCs w:val="28"/>
        </w:rPr>
      </w:pPr>
    </w:p>
    <w:p w14:paraId="55B4CBA5" w14:textId="77777777" w:rsidR="00E53C6D" w:rsidRPr="002C6895" w:rsidRDefault="00E53C6D" w:rsidP="00E53C6D">
      <w:pPr>
        <w:spacing w:after="200" w:line="480" w:lineRule="auto"/>
        <w:ind w:left="720"/>
        <w:rPr>
          <w:rFonts w:eastAsia="Times New Roman" w:cs="Times New Roman"/>
          <w:bCs/>
          <w:sz w:val="28"/>
          <w:szCs w:val="28"/>
        </w:rPr>
      </w:pPr>
    </w:p>
    <w:p w14:paraId="12403A61" w14:textId="5D1E2E8F" w:rsidR="00760D38" w:rsidRDefault="00760D38">
      <w:pPr>
        <w:spacing w:after="160" w:line="259" w:lineRule="auto"/>
        <w:rPr>
          <w:rFonts w:eastAsia="Times New Roman" w:cs="Times New Roman"/>
          <w:bCs/>
          <w:sz w:val="28"/>
          <w:szCs w:val="28"/>
        </w:rPr>
      </w:pPr>
      <w:r>
        <w:rPr>
          <w:rFonts w:eastAsia="Times New Roman" w:cs="Times New Roman"/>
          <w:bCs/>
          <w:sz w:val="28"/>
          <w:szCs w:val="28"/>
        </w:rPr>
        <w:br w:type="page"/>
      </w:r>
    </w:p>
    <w:p w14:paraId="69ED18AF" w14:textId="77777777" w:rsidR="00E32A75" w:rsidRPr="00E32A75" w:rsidRDefault="00E32A75" w:rsidP="00E32A75">
      <w:pPr>
        <w:spacing w:after="200" w:line="480" w:lineRule="auto"/>
        <w:rPr>
          <w:rFonts w:eastAsia="Times New Roman" w:cs="Times New Roman"/>
          <w:bCs/>
          <w:sz w:val="28"/>
          <w:szCs w:val="28"/>
        </w:rPr>
      </w:pPr>
    </w:p>
    <w:p w14:paraId="50C2E9DE" w14:textId="3A36BCA5" w:rsidR="00A352EC" w:rsidRPr="00D92D3B" w:rsidRDefault="00000000" w:rsidP="00555CD3">
      <w:pPr>
        <w:spacing w:after="200" w:line="480" w:lineRule="auto"/>
        <w:rPr>
          <w:rFonts w:eastAsia="Times New Roman" w:cs="Times New Roman"/>
          <w:bCs/>
          <w:sz w:val="28"/>
          <w:szCs w:val="28"/>
        </w:rPr>
      </w:pPr>
      <w:r>
        <w:rPr>
          <w:rFonts w:eastAsia="Times New Roman" w:cs="Times New Roman"/>
          <w:b/>
          <w:sz w:val="28"/>
          <w:szCs w:val="28"/>
        </w:rPr>
        <w:pict w14:anchorId="222944A3">
          <v:rect id="_x0000_i1042" style="width:0;height:1.5pt" o:hralign="center" o:hrstd="t" o:hr="t" fillcolor="#a0a0a0" stroked="f"/>
        </w:pict>
      </w:r>
    </w:p>
    <w:p w14:paraId="3EB1CD7C" w14:textId="1155B90B" w:rsidR="00555CD3" w:rsidRPr="007B76F2" w:rsidRDefault="00555CD3" w:rsidP="00A352EC">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w:t>
      </w:r>
      <w:r w:rsidR="00DA3C02">
        <w:rPr>
          <w:rFonts w:eastAsia="Times New Roman" w:cs="Times New Roman"/>
          <w:bCs/>
          <w:sz w:val="28"/>
          <w:szCs w:val="28"/>
        </w:rPr>
        <w:t>this</w:t>
      </w:r>
      <w:r w:rsidRPr="00555CD3">
        <w:rPr>
          <w:rFonts w:eastAsia="Times New Roman" w:cs="Times New Roman"/>
          <w:bCs/>
          <w:sz w:val="28"/>
          <w:szCs w:val="28"/>
        </w:rPr>
        <w:t xml:space="preserve"> episode </w:t>
      </w:r>
      <w:r w:rsidR="001B3891">
        <w:rPr>
          <w:rFonts w:eastAsia="Times New Roman" w:cs="Times New Roman"/>
          <w:bCs/>
          <w:sz w:val="28"/>
          <w:szCs w:val="28"/>
        </w:rPr>
        <w:t xml:space="preserve">dealing with </w:t>
      </w:r>
      <w:r w:rsidR="007B76F2">
        <w:rPr>
          <w:rFonts w:eastAsia="Times New Roman" w:cs="Times New Roman"/>
          <w:bCs/>
          <w:sz w:val="28"/>
          <w:szCs w:val="28"/>
        </w:rPr>
        <w:t xml:space="preserve">the </w:t>
      </w:r>
      <w:r w:rsidR="007B76F2">
        <w:rPr>
          <w:rFonts w:eastAsia="Times New Roman" w:cs="Times New Roman"/>
          <w:bCs/>
          <w:i/>
          <w:iCs/>
          <w:sz w:val="28"/>
          <w:szCs w:val="28"/>
        </w:rPr>
        <w:t>Johnson</w:t>
      </w:r>
      <w:r w:rsidR="007B76F2">
        <w:rPr>
          <w:rFonts w:eastAsia="Times New Roman" w:cs="Times New Roman"/>
          <w:bCs/>
          <w:sz w:val="28"/>
          <w:szCs w:val="28"/>
        </w:rPr>
        <w:t xml:space="preserve"> decision and hybrid representation </w:t>
      </w:r>
    </w:p>
    <w:p w14:paraId="3C729771" w14:textId="7D370ED6" w:rsidR="00DA3C02" w:rsidRDefault="007B76F2" w:rsidP="00555CD3">
      <w:pPr>
        <w:spacing w:line="480" w:lineRule="auto"/>
        <w:textAlignment w:val="baseline"/>
        <w:rPr>
          <w:rFonts w:eastAsia="Times New Roman" w:cs="Times New Roman"/>
          <w:bCs/>
          <w:i/>
          <w:iCs/>
          <w:sz w:val="28"/>
          <w:szCs w:val="28"/>
        </w:rPr>
      </w:pPr>
      <w:r>
        <w:rPr>
          <w:rFonts w:eastAsia="Times New Roman" w:cs="Times New Roman"/>
          <w:bCs/>
          <w:i/>
          <w:iCs/>
          <w:sz w:val="28"/>
          <w:szCs w:val="28"/>
        </w:rPr>
        <w:t xml:space="preserve">Just because you do not have the </w:t>
      </w:r>
      <w:r>
        <w:rPr>
          <w:rFonts w:eastAsia="Times New Roman" w:cs="Times New Roman"/>
          <w:bCs/>
          <w:i/>
          <w:iCs/>
          <w:sz w:val="28"/>
          <w:szCs w:val="28"/>
          <w:u w:val="single"/>
        </w:rPr>
        <w:t>right</w:t>
      </w:r>
      <w:r>
        <w:rPr>
          <w:rFonts w:eastAsia="Times New Roman" w:cs="Times New Roman"/>
          <w:bCs/>
          <w:i/>
          <w:iCs/>
          <w:sz w:val="28"/>
          <w:szCs w:val="28"/>
        </w:rPr>
        <w:t xml:space="preserve"> to hybrid representation does not mean that hybrid representation is </w:t>
      </w:r>
      <w:r>
        <w:rPr>
          <w:rFonts w:eastAsia="Times New Roman" w:cs="Times New Roman"/>
          <w:bCs/>
          <w:i/>
          <w:iCs/>
          <w:sz w:val="28"/>
          <w:szCs w:val="28"/>
          <w:u w:val="single"/>
        </w:rPr>
        <w:t>barred</w:t>
      </w:r>
      <w:r>
        <w:rPr>
          <w:rFonts w:eastAsia="Times New Roman" w:cs="Times New Roman"/>
          <w:bCs/>
          <w:i/>
          <w:iCs/>
          <w:sz w:val="28"/>
          <w:szCs w:val="28"/>
        </w:rPr>
        <w:t xml:space="preserve">.  </w:t>
      </w:r>
    </w:p>
    <w:p w14:paraId="44413402" w14:textId="11039EB0" w:rsidR="007B76F2" w:rsidRDefault="007B76F2" w:rsidP="00555CD3">
      <w:pPr>
        <w:spacing w:line="480" w:lineRule="auto"/>
        <w:textAlignment w:val="baseline"/>
        <w:rPr>
          <w:rFonts w:eastAsia="Times New Roman" w:cs="Times New Roman"/>
          <w:bCs/>
          <w:sz w:val="28"/>
          <w:szCs w:val="28"/>
        </w:rPr>
      </w:pPr>
      <w:r>
        <w:rPr>
          <w:rFonts w:eastAsia="Times New Roman" w:cs="Times New Roman"/>
          <w:bCs/>
          <w:sz w:val="28"/>
          <w:szCs w:val="28"/>
        </w:rPr>
        <w:t xml:space="preserve">Even after </w:t>
      </w:r>
      <w:r>
        <w:rPr>
          <w:rFonts w:eastAsia="Times New Roman" w:cs="Times New Roman"/>
          <w:bCs/>
          <w:i/>
          <w:iCs/>
          <w:sz w:val="28"/>
          <w:szCs w:val="28"/>
        </w:rPr>
        <w:t>Johnson</w:t>
      </w:r>
      <w:r>
        <w:rPr>
          <w:rFonts w:eastAsia="Times New Roman" w:cs="Times New Roman"/>
          <w:bCs/>
          <w:sz w:val="28"/>
          <w:szCs w:val="28"/>
        </w:rPr>
        <w:t xml:space="preserve">, there is no </w:t>
      </w:r>
      <w:r>
        <w:rPr>
          <w:rFonts w:eastAsia="Times New Roman" w:cs="Times New Roman"/>
          <w:bCs/>
          <w:sz w:val="28"/>
          <w:szCs w:val="28"/>
          <w:u w:val="single"/>
        </w:rPr>
        <w:t>right</w:t>
      </w:r>
      <w:r>
        <w:rPr>
          <w:rFonts w:eastAsia="Times New Roman" w:cs="Times New Roman"/>
          <w:bCs/>
          <w:sz w:val="28"/>
          <w:szCs w:val="28"/>
        </w:rPr>
        <w:t xml:space="preserve"> to hybrid representation.</w:t>
      </w:r>
    </w:p>
    <w:p w14:paraId="52EB8DA5" w14:textId="50F79AB7" w:rsidR="007B76F2" w:rsidRPr="007B76F2" w:rsidRDefault="007B76F2" w:rsidP="00555CD3">
      <w:pPr>
        <w:spacing w:line="480" w:lineRule="auto"/>
        <w:textAlignment w:val="baseline"/>
        <w:rPr>
          <w:rFonts w:eastAsia="Times New Roman" w:cs="Times New Roman"/>
          <w:bCs/>
          <w:sz w:val="28"/>
          <w:szCs w:val="28"/>
        </w:rPr>
      </w:pPr>
      <w:r>
        <w:rPr>
          <w:rFonts w:eastAsia="Times New Roman" w:cs="Times New Roman"/>
          <w:bCs/>
          <w:i/>
          <w:iCs/>
          <w:sz w:val="28"/>
          <w:szCs w:val="28"/>
        </w:rPr>
        <w:t>But it can be allowed where not doing so would result in an injustice.</w:t>
      </w:r>
    </w:p>
    <w:p w14:paraId="4624E723" w14:textId="563A782F" w:rsidR="00555CD3" w:rsidRPr="00AD5C8F" w:rsidRDefault="00555CD3" w:rsidP="00555CD3">
      <w:pPr>
        <w:spacing w:line="480" w:lineRule="auto"/>
        <w:textAlignment w:val="baseline"/>
        <w:rPr>
          <w:rFonts w:eastAsia="Times New Roman" w:cs="Times New Roman"/>
          <w:bCs/>
          <w:i/>
          <w:iCs/>
          <w:sz w:val="28"/>
          <w:szCs w:val="28"/>
        </w:rPr>
      </w:pPr>
      <w:r w:rsidRPr="00555CD3">
        <w:rPr>
          <w:rFonts w:eastAsia="Times New Roman" w:cs="Times New Roman"/>
          <w:bCs/>
          <w:sz w:val="28"/>
          <w:szCs w:val="28"/>
        </w:rPr>
        <w:t>The outline is full of statutory and case citations</w:t>
      </w:r>
      <w:r w:rsidR="00DA3C02">
        <w:rPr>
          <w:rFonts w:eastAsia="Times New Roman" w:cs="Times New Roman"/>
          <w:bCs/>
          <w:sz w:val="28"/>
          <w:szCs w:val="28"/>
        </w:rPr>
        <w:t>.  T</w:t>
      </w:r>
      <w:r w:rsidRPr="00555CD3">
        <w:rPr>
          <w:rFonts w:eastAsia="Times New Roman" w:cs="Times New Roman"/>
          <w:bCs/>
          <w:sz w:val="28"/>
          <w:szCs w:val="28"/>
        </w:rPr>
        <w:t xml:space="preserve">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291AFF68" w:rsidR="006C1C3B" w:rsidRDefault="00555CD3" w:rsidP="00A978B0">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6454E3">
        <w:rPr>
          <w:rFonts w:eastAsia="Times New Roman" w:cs="Times New Roman"/>
          <w:i/>
          <w:sz w:val="28"/>
          <w:szCs w:val="28"/>
        </w:rPr>
        <w:t xml:space="preserve">Are you old enough to remember the world-wide event known as Live Aid?  It occurred in 1985 and really was a world-wide phenomenon.  Musicians gathered in both London and Philadelphia simultaneously – it was attended </w:t>
      </w:r>
      <w:r w:rsidR="007938F2">
        <w:rPr>
          <w:rFonts w:eastAsia="Times New Roman" w:cs="Times New Roman"/>
          <w:i/>
          <w:sz w:val="28"/>
          <w:szCs w:val="28"/>
        </w:rPr>
        <w:t xml:space="preserve">live </w:t>
      </w:r>
      <w:r w:rsidR="006454E3">
        <w:rPr>
          <w:rFonts w:eastAsia="Times New Roman" w:cs="Times New Roman"/>
          <w:i/>
          <w:sz w:val="28"/>
          <w:szCs w:val="28"/>
        </w:rPr>
        <w:t xml:space="preserve">by over 150,000 people between the two venues </w:t>
      </w:r>
      <w:r w:rsidR="00F210B7">
        <w:rPr>
          <w:rFonts w:eastAsia="Times New Roman" w:cs="Times New Roman"/>
          <w:i/>
          <w:sz w:val="28"/>
          <w:szCs w:val="28"/>
        </w:rPr>
        <w:t xml:space="preserve">and was </w:t>
      </w:r>
      <w:r w:rsidR="007938F2">
        <w:rPr>
          <w:rFonts w:eastAsia="Times New Roman" w:cs="Times New Roman"/>
          <w:i/>
          <w:sz w:val="28"/>
          <w:szCs w:val="28"/>
        </w:rPr>
        <w:t>seen via satellite broadcast by more than 1.9 million people</w:t>
      </w:r>
      <w:r w:rsidR="00F210B7">
        <w:rPr>
          <w:rFonts w:eastAsia="Times New Roman" w:cs="Times New Roman"/>
          <w:i/>
          <w:sz w:val="28"/>
          <w:szCs w:val="28"/>
        </w:rPr>
        <w:t>.  It was a fundraiser for famine relief in Ethiopia.</w:t>
      </w:r>
    </w:p>
    <w:p w14:paraId="34D4CCF3" w14:textId="53B5E8DA" w:rsidR="00F210B7" w:rsidRDefault="00F210B7" w:rsidP="00A978B0">
      <w:pPr>
        <w:spacing w:line="480" w:lineRule="auto"/>
        <w:textAlignment w:val="baseline"/>
        <w:rPr>
          <w:rFonts w:eastAsia="Times New Roman" w:cs="Times New Roman"/>
          <w:i/>
          <w:sz w:val="28"/>
          <w:szCs w:val="28"/>
        </w:rPr>
      </w:pPr>
      <w:r>
        <w:rPr>
          <w:rFonts w:eastAsia="Times New Roman" w:cs="Times New Roman"/>
          <w:i/>
          <w:sz w:val="28"/>
          <w:szCs w:val="28"/>
        </w:rPr>
        <w:lastRenderedPageBreak/>
        <w:tab/>
        <w:t>I tell you all that to remind you of this fun fact – most of the biggest names in music appeared and performed.  That included Elvis Costello.  The performance was running long and Costello was asked to ditch his planned set and only perform</w:t>
      </w:r>
      <w:r w:rsidR="007938F2">
        <w:rPr>
          <w:rFonts w:eastAsia="Times New Roman" w:cs="Times New Roman"/>
          <w:i/>
          <w:sz w:val="28"/>
          <w:szCs w:val="28"/>
        </w:rPr>
        <w:t xml:space="preserve"> by himself.  Therefore, Elvis Costello’s only performance on Live Aid was a single cover song.  Guess which song he performed?</w:t>
      </w:r>
    </w:p>
    <w:p w14:paraId="04B2C3F9" w14:textId="54B4B0A2" w:rsidR="007938F2" w:rsidRPr="007938F2" w:rsidRDefault="007938F2" w:rsidP="00A978B0">
      <w:pPr>
        <w:spacing w:line="480" w:lineRule="auto"/>
        <w:textAlignment w:val="baseline"/>
        <w:rPr>
          <w:rFonts w:eastAsia="Times New Roman" w:cs="Times New Roman"/>
          <w:i/>
          <w:sz w:val="28"/>
          <w:szCs w:val="28"/>
        </w:rPr>
      </w:pPr>
      <w:r>
        <w:rPr>
          <w:rFonts w:eastAsia="Times New Roman" w:cs="Times New Roman"/>
          <w:i/>
          <w:sz w:val="28"/>
          <w:szCs w:val="28"/>
        </w:rPr>
        <w:tab/>
        <w:t xml:space="preserve">Give up?  </w:t>
      </w:r>
      <w:r>
        <w:rPr>
          <w:rFonts w:eastAsia="Times New Roman" w:cs="Times New Roman"/>
          <w:iCs/>
          <w:sz w:val="28"/>
          <w:szCs w:val="28"/>
        </w:rPr>
        <w:t xml:space="preserve">All you Need is Love </w:t>
      </w:r>
      <w:r>
        <w:rPr>
          <w:rFonts w:eastAsia="Times New Roman" w:cs="Times New Roman"/>
          <w:i/>
          <w:sz w:val="28"/>
          <w:szCs w:val="28"/>
        </w:rPr>
        <w:t>by the Beetles.</w:t>
      </w:r>
    </w:p>
    <w:p w14:paraId="7BFA96F4" w14:textId="4CF3AA14" w:rsidR="00B9144A" w:rsidRDefault="000C42C4" w:rsidP="000C42C4">
      <w:pPr>
        <w:spacing w:line="480" w:lineRule="auto"/>
        <w:textAlignment w:val="baseline"/>
        <w:rPr>
          <w:rFonts w:eastAsia="Times New Roman" w:cs="Times New Roman"/>
          <w:i/>
          <w:sz w:val="28"/>
          <w:szCs w:val="28"/>
        </w:rPr>
      </w:pPr>
      <w:r>
        <w:rPr>
          <w:rFonts w:eastAsia="Times New Roman" w:cs="Times New Roman"/>
          <w:i/>
          <w:sz w:val="28"/>
          <w:szCs w:val="28"/>
        </w:rPr>
        <w:t>It really is amazing the things you learn on this podcast, huh?</w:t>
      </w:r>
      <w:r w:rsidR="00B9144A">
        <w:rPr>
          <w:rFonts w:eastAsia="Times New Roman" w:cs="Times New Roman"/>
          <w:i/>
          <w:sz w:val="28"/>
          <w:szCs w:val="28"/>
        </w:rPr>
        <w:br w:type="page"/>
      </w:r>
    </w:p>
    <w:p w14:paraId="6E16F313"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ascii="Calibri" w:eastAsia="Calibri" w:hAnsi="Calibri" w:cs="Times New Roman"/>
          <w:sz w:val="26"/>
          <w:szCs w:val="22"/>
        </w:rPr>
      </w:pPr>
    </w:p>
    <w:p w14:paraId="01781CD0"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ascii="Calibri" w:eastAsia="Calibri" w:hAnsi="Calibri" w:cs="Times New Roman"/>
          <w:sz w:val="26"/>
          <w:szCs w:val="22"/>
        </w:rPr>
      </w:pPr>
    </w:p>
    <w:p w14:paraId="292738F2" w14:textId="1D5A0602" w:rsidR="006C1C3B" w:rsidRDefault="006C1C3B">
      <w:pPr>
        <w:spacing w:after="160" w:line="259" w:lineRule="auto"/>
        <w:rPr>
          <w:rFonts w:eastAsia="Times New Roman" w:cs="Times New Roman"/>
          <w:i/>
          <w:sz w:val="28"/>
          <w:szCs w:val="28"/>
        </w:rPr>
      </w:pPr>
    </w:p>
    <w:sectPr w:rsidR="006C1C3B"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A4FC" w14:textId="77777777" w:rsidR="00DB1D4C" w:rsidRDefault="00DB1D4C" w:rsidP="00A52F35">
      <w:pPr>
        <w:spacing w:line="240" w:lineRule="auto"/>
      </w:pPr>
      <w:r>
        <w:separator/>
      </w:r>
    </w:p>
  </w:endnote>
  <w:endnote w:type="continuationSeparator" w:id="0">
    <w:p w14:paraId="3D2A4438" w14:textId="77777777" w:rsidR="00DB1D4C" w:rsidRDefault="00DB1D4C" w:rsidP="00A52F35">
      <w:pPr>
        <w:spacing w:line="240" w:lineRule="auto"/>
      </w:pPr>
      <w:r>
        <w:continuationSeparator/>
      </w:r>
    </w:p>
  </w:endnote>
  <w:endnote w:id="1">
    <w:p w14:paraId="2FDE331A" w14:textId="196517C2" w:rsidR="00D00993" w:rsidRPr="00D00993" w:rsidRDefault="00D00993">
      <w:pPr>
        <w:pStyle w:val="EndnoteText"/>
      </w:pPr>
      <w:r>
        <w:rPr>
          <w:rStyle w:val="EndnoteReference"/>
        </w:rPr>
        <w:endnoteRef/>
      </w:r>
      <w:r>
        <w:t xml:space="preserve"> </w:t>
      </w:r>
      <w:r>
        <w:rPr>
          <w:i/>
          <w:iCs/>
        </w:rPr>
        <w:t>Cargill v. State</w:t>
      </w:r>
      <w:r>
        <w:t xml:space="preserve">, 255 Ga. 616, 622 (1986), overruled on other grounds, </w:t>
      </w:r>
      <w:r>
        <w:rPr>
          <w:i/>
          <w:iCs/>
        </w:rPr>
        <w:t>Manzano v. State</w:t>
      </w:r>
      <w:r>
        <w:t xml:space="preserve">, 282 Ga. 557, 560 (2007).  Cited in the </w:t>
      </w:r>
      <w:r>
        <w:rPr>
          <w:i/>
          <w:iCs/>
        </w:rPr>
        <w:t xml:space="preserve">Johnson </w:t>
      </w:r>
      <w:r>
        <w:t xml:space="preserve"> decision.</w:t>
      </w:r>
    </w:p>
  </w:endnote>
  <w:endnote w:id="2">
    <w:p w14:paraId="3AF0C31A" w14:textId="0BEB76A7" w:rsidR="00250188" w:rsidRPr="00250188" w:rsidRDefault="00250188">
      <w:pPr>
        <w:pStyle w:val="EndnoteText"/>
      </w:pPr>
      <w:r>
        <w:rPr>
          <w:rStyle w:val="EndnoteReference"/>
        </w:rPr>
        <w:endnoteRef/>
      </w:r>
      <w:r>
        <w:t xml:space="preserve"> </w:t>
      </w:r>
      <w:r>
        <w:rPr>
          <w:i/>
          <w:iCs/>
        </w:rPr>
        <w:t>White v. State</w:t>
      </w:r>
      <w:r>
        <w:t xml:space="preserve">, </w:t>
      </w:r>
      <w:r w:rsidR="00735C87">
        <w:t>302 Ga. 315, 319 (2017).</w:t>
      </w:r>
    </w:p>
  </w:endnote>
  <w:endnote w:id="3">
    <w:p w14:paraId="123A239B" w14:textId="59398DDC" w:rsidR="00CF06B0" w:rsidRPr="00CF06B0" w:rsidRDefault="00CF06B0">
      <w:pPr>
        <w:pStyle w:val="EndnoteText"/>
      </w:pPr>
      <w:r>
        <w:rPr>
          <w:rStyle w:val="EndnoteReference"/>
        </w:rPr>
        <w:endnoteRef/>
      </w:r>
      <w:r>
        <w:t xml:space="preserve"> </w:t>
      </w:r>
      <w:r>
        <w:rPr>
          <w:i/>
          <w:iCs/>
        </w:rPr>
        <w:t>Cook v. State</w:t>
      </w:r>
      <w:r>
        <w:t>, 313 Ga. 471, 506 (2022).</w:t>
      </w:r>
    </w:p>
  </w:endnote>
  <w:endnote w:id="4">
    <w:p w14:paraId="6FDEDD64" w14:textId="58D8CFAB" w:rsidR="007B76F2" w:rsidRPr="007B76F2" w:rsidRDefault="007B76F2">
      <w:pPr>
        <w:pStyle w:val="EndnoteText"/>
      </w:pPr>
      <w:r>
        <w:rPr>
          <w:rStyle w:val="EndnoteReference"/>
        </w:rPr>
        <w:endnoteRef/>
      </w:r>
      <w:r>
        <w:t xml:space="preserve"> </w:t>
      </w:r>
      <w:r>
        <w:rPr>
          <w:i/>
          <w:iCs/>
        </w:rPr>
        <w:t>Seagraves v. State</w:t>
      </w:r>
      <w:r>
        <w:t>, 259 Ga. 36, 39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8FF4" w14:textId="77777777" w:rsidR="006D2CF6" w:rsidRDefault="006D2CF6" w:rsidP="00C527D7">
    <w:pPr>
      <w:pStyle w:val="Footer"/>
      <w:tabs>
        <w:tab w:val="clear" w:pos="4680"/>
        <w:tab w:val="clear" w:pos="9360"/>
      </w:tabs>
      <w:jc w:val="center"/>
      <w:rPr>
        <w:b/>
        <w:bCs/>
        <w:sz w:val="20"/>
        <w:szCs w:val="20"/>
      </w:rPr>
    </w:pPr>
  </w:p>
  <w:p w14:paraId="647E1D70" w14:textId="47475263" w:rsidR="003D0F81" w:rsidRDefault="008617E8" w:rsidP="00C527D7">
    <w:pPr>
      <w:pStyle w:val="Footer"/>
      <w:tabs>
        <w:tab w:val="clear" w:pos="4680"/>
        <w:tab w:val="clear" w:pos="9360"/>
      </w:tabs>
      <w:jc w:val="center"/>
      <w:rPr>
        <w:b/>
        <w:bCs/>
        <w:sz w:val="20"/>
        <w:szCs w:val="20"/>
      </w:rPr>
    </w:pPr>
    <w:r>
      <w:rPr>
        <w:b/>
        <w:bCs/>
        <w:sz w:val="20"/>
        <w:szCs w:val="20"/>
      </w:rPr>
      <w:t>Johnson v State and Hybrid Representation</w:t>
    </w:r>
    <w:r w:rsidR="001B3891">
      <w:rPr>
        <w:b/>
        <w:bCs/>
        <w:sz w:val="20"/>
        <w:szCs w:val="20"/>
      </w:rPr>
      <w:t xml:space="preserve"> - </w:t>
    </w:r>
    <w:r w:rsidR="001562CC">
      <w:rPr>
        <w:b/>
        <w:bCs/>
        <w:sz w:val="20"/>
        <w:szCs w:val="20"/>
      </w:rPr>
      <w:t xml:space="preserve"> EPISODE NOTES</w:t>
    </w:r>
  </w:p>
  <w:p w14:paraId="553C4CDE" w14:textId="00D82F1E"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102EA6">
      <w:rPr>
        <w:b/>
        <w:bCs/>
        <w:sz w:val="20"/>
        <w:szCs w:val="20"/>
      </w:rPr>
      <w:t>3/26/</w:t>
    </w:r>
    <w:r w:rsidR="00A352EC">
      <w:rPr>
        <w:b/>
        <w:bCs/>
        <w:sz w:val="20"/>
        <w:szCs w:val="20"/>
      </w:rPr>
      <w:t>2023</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D91B" w14:textId="77777777" w:rsidR="00DB1D4C" w:rsidRDefault="00DB1D4C" w:rsidP="00A52F35">
      <w:pPr>
        <w:spacing w:line="240" w:lineRule="auto"/>
      </w:pPr>
      <w:r>
        <w:separator/>
      </w:r>
    </w:p>
  </w:footnote>
  <w:footnote w:type="continuationSeparator" w:id="0">
    <w:p w14:paraId="5B1F1E8F" w14:textId="77777777" w:rsidR="00DB1D4C" w:rsidRDefault="00DB1D4C"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84" style="width:0;height:1.5pt" o:hralign="center" o:bullet="t" o:hrstd="t" o:hr="t" fillcolor="#a0a0a0" stroked="f"/>
    </w:pict>
  </w:numPicBullet>
  <w:numPicBullet w:numPicBulletId="1">
    <w:pict>
      <v:rect id="_x0000_i1885" style="width:0;height:1.5pt" o:hralign="center" o:bullet="t" o:hrstd="t" o:hr="t" fillcolor="#a0a0a0" stroked="f"/>
    </w:pict>
  </w:numPicBullet>
  <w:numPicBullet w:numPicBulletId="2">
    <w:pict>
      <v:rect id="_x0000_i1886" style="width:0;height:1.5pt" o:hralign="center" o:bullet="t" o:hrstd="t" o:hr="t" fillcolor="#a0a0a0" stroked="f"/>
    </w:pict>
  </w:numPicBullet>
  <w:numPicBullet w:numPicBulletId="3">
    <w:pict>
      <v:rect id="_x0000_i1887" style="width:0;height:1.5pt" o:hralign="center" o:bullet="t" o:hrstd="t" o:hr="t" fillcolor="#a0a0a0" stroked="f"/>
    </w:pict>
  </w:numPicBullet>
  <w:numPicBullet w:numPicBulletId="4">
    <w:pict>
      <v:rect id="_x0000_i1888" style="width:0;height:1.5pt" o:hralign="center" o:bullet="t" o:hrstd="t" o:hr="t" fillcolor="#a0a0a0" stroked="f"/>
    </w:pict>
  </w:numPicBullet>
  <w:numPicBullet w:numPicBulletId="5">
    <w:pict>
      <v:rect id="_x0000_i1889"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7"/>
  </w:num>
  <w:num w:numId="2" w16cid:durableId="516770339">
    <w:abstractNumId w:val="1"/>
  </w:num>
  <w:num w:numId="3" w16cid:durableId="1672216630">
    <w:abstractNumId w:val="5"/>
  </w:num>
  <w:num w:numId="4" w16cid:durableId="1785076624">
    <w:abstractNumId w:val="6"/>
  </w:num>
  <w:num w:numId="5" w16cid:durableId="1263876366">
    <w:abstractNumId w:val="4"/>
  </w:num>
  <w:num w:numId="6" w16cid:durableId="458037925">
    <w:abstractNumId w:val="3"/>
  </w:num>
  <w:num w:numId="7" w16cid:durableId="811560486">
    <w:abstractNumId w:val="0"/>
  </w:num>
  <w:num w:numId="8" w16cid:durableId="13776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5601C"/>
    <w:rsid w:val="00063AF3"/>
    <w:rsid w:val="00071BFB"/>
    <w:rsid w:val="000A455C"/>
    <w:rsid w:val="000A5577"/>
    <w:rsid w:val="000B3423"/>
    <w:rsid w:val="000B4BB0"/>
    <w:rsid w:val="000C42C4"/>
    <w:rsid w:val="000C446F"/>
    <w:rsid w:val="000D066F"/>
    <w:rsid w:val="000D66EC"/>
    <w:rsid w:val="000E6359"/>
    <w:rsid w:val="000E6545"/>
    <w:rsid w:val="00102EA6"/>
    <w:rsid w:val="0010409A"/>
    <w:rsid w:val="001061B8"/>
    <w:rsid w:val="0011069E"/>
    <w:rsid w:val="00112051"/>
    <w:rsid w:val="00115545"/>
    <w:rsid w:val="00122286"/>
    <w:rsid w:val="001250B4"/>
    <w:rsid w:val="001264FC"/>
    <w:rsid w:val="00127100"/>
    <w:rsid w:val="001456D7"/>
    <w:rsid w:val="001562CC"/>
    <w:rsid w:val="00156D40"/>
    <w:rsid w:val="00172311"/>
    <w:rsid w:val="00183637"/>
    <w:rsid w:val="001B3891"/>
    <w:rsid w:val="001B6388"/>
    <w:rsid w:val="001E223E"/>
    <w:rsid w:val="001E6C37"/>
    <w:rsid w:val="001F7DF7"/>
    <w:rsid w:val="0023015A"/>
    <w:rsid w:val="002358D9"/>
    <w:rsid w:val="00250188"/>
    <w:rsid w:val="002521F1"/>
    <w:rsid w:val="00264941"/>
    <w:rsid w:val="002708B0"/>
    <w:rsid w:val="00287B67"/>
    <w:rsid w:val="00290B7B"/>
    <w:rsid w:val="002C3EBC"/>
    <w:rsid w:val="002C6895"/>
    <w:rsid w:val="002D73D0"/>
    <w:rsid w:val="002E0E05"/>
    <w:rsid w:val="002E356A"/>
    <w:rsid w:val="002E410E"/>
    <w:rsid w:val="002F196F"/>
    <w:rsid w:val="00301C63"/>
    <w:rsid w:val="00310797"/>
    <w:rsid w:val="0035195D"/>
    <w:rsid w:val="003600C3"/>
    <w:rsid w:val="00366A49"/>
    <w:rsid w:val="00375D2B"/>
    <w:rsid w:val="003842AF"/>
    <w:rsid w:val="003A43D9"/>
    <w:rsid w:val="003B0115"/>
    <w:rsid w:val="003F7350"/>
    <w:rsid w:val="00411A06"/>
    <w:rsid w:val="0041506C"/>
    <w:rsid w:val="00425248"/>
    <w:rsid w:val="0042615D"/>
    <w:rsid w:val="0042739A"/>
    <w:rsid w:val="004409D3"/>
    <w:rsid w:val="00441771"/>
    <w:rsid w:val="00457110"/>
    <w:rsid w:val="00460A8D"/>
    <w:rsid w:val="0046709D"/>
    <w:rsid w:val="00471E6F"/>
    <w:rsid w:val="004A0565"/>
    <w:rsid w:val="004C0F37"/>
    <w:rsid w:val="004D5C04"/>
    <w:rsid w:val="004E0374"/>
    <w:rsid w:val="00517AB4"/>
    <w:rsid w:val="0052598B"/>
    <w:rsid w:val="00545A02"/>
    <w:rsid w:val="00552482"/>
    <w:rsid w:val="00553437"/>
    <w:rsid w:val="00555CD3"/>
    <w:rsid w:val="00562A35"/>
    <w:rsid w:val="00566D78"/>
    <w:rsid w:val="005725FA"/>
    <w:rsid w:val="00573E68"/>
    <w:rsid w:val="005A0657"/>
    <w:rsid w:val="005C3462"/>
    <w:rsid w:val="005D4D9F"/>
    <w:rsid w:val="005F2C91"/>
    <w:rsid w:val="00613822"/>
    <w:rsid w:val="0061670A"/>
    <w:rsid w:val="00633CCD"/>
    <w:rsid w:val="006360AA"/>
    <w:rsid w:val="006365BB"/>
    <w:rsid w:val="006454E3"/>
    <w:rsid w:val="0064718D"/>
    <w:rsid w:val="006536D1"/>
    <w:rsid w:val="00674A33"/>
    <w:rsid w:val="006B3477"/>
    <w:rsid w:val="006C1C3B"/>
    <w:rsid w:val="006D2CF6"/>
    <w:rsid w:val="006D64C0"/>
    <w:rsid w:val="006E3884"/>
    <w:rsid w:val="006F54D9"/>
    <w:rsid w:val="00703656"/>
    <w:rsid w:val="00726683"/>
    <w:rsid w:val="007356DF"/>
    <w:rsid w:val="00735C87"/>
    <w:rsid w:val="00741D72"/>
    <w:rsid w:val="00742D45"/>
    <w:rsid w:val="00760D38"/>
    <w:rsid w:val="007938F2"/>
    <w:rsid w:val="007969F6"/>
    <w:rsid w:val="007A1271"/>
    <w:rsid w:val="007A5FEE"/>
    <w:rsid w:val="007A7E2C"/>
    <w:rsid w:val="007B08E5"/>
    <w:rsid w:val="007B76F2"/>
    <w:rsid w:val="007C5403"/>
    <w:rsid w:val="007E21A4"/>
    <w:rsid w:val="007E2B02"/>
    <w:rsid w:val="007E5730"/>
    <w:rsid w:val="007F7D58"/>
    <w:rsid w:val="008061A2"/>
    <w:rsid w:val="00837697"/>
    <w:rsid w:val="008617E8"/>
    <w:rsid w:val="00865980"/>
    <w:rsid w:val="00866B67"/>
    <w:rsid w:val="00880581"/>
    <w:rsid w:val="008858CE"/>
    <w:rsid w:val="00887092"/>
    <w:rsid w:val="00893D39"/>
    <w:rsid w:val="008A352B"/>
    <w:rsid w:val="008A462A"/>
    <w:rsid w:val="008B5B56"/>
    <w:rsid w:val="008C7E46"/>
    <w:rsid w:val="008E5841"/>
    <w:rsid w:val="008F22C8"/>
    <w:rsid w:val="009047D5"/>
    <w:rsid w:val="00914B8B"/>
    <w:rsid w:val="009254B1"/>
    <w:rsid w:val="00945699"/>
    <w:rsid w:val="0094588B"/>
    <w:rsid w:val="00977950"/>
    <w:rsid w:val="0098464C"/>
    <w:rsid w:val="00987D3D"/>
    <w:rsid w:val="009B42AB"/>
    <w:rsid w:val="009E786C"/>
    <w:rsid w:val="009F4556"/>
    <w:rsid w:val="00A11B17"/>
    <w:rsid w:val="00A11F70"/>
    <w:rsid w:val="00A23CEE"/>
    <w:rsid w:val="00A278CF"/>
    <w:rsid w:val="00A322AD"/>
    <w:rsid w:val="00A352EC"/>
    <w:rsid w:val="00A5186C"/>
    <w:rsid w:val="00A52F35"/>
    <w:rsid w:val="00A57561"/>
    <w:rsid w:val="00A65A34"/>
    <w:rsid w:val="00A85154"/>
    <w:rsid w:val="00A978B0"/>
    <w:rsid w:val="00AB332A"/>
    <w:rsid w:val="00AB794B"/>
    <w:rsid w:val="00AD5C8F"/>
    <w:rsid w:val="00AF648B"/>
    <w:rsid w:val="00B043A3"/>
    <w:rsid w:val="00B0502B"/>
    <w:rsid w:val="00B2013D"/>
    <w:rsid w:val="00B71441"/>
    <w:rsid w:val="00B823E9"/>
    <w:rsid w:val="00B9144A"/>
    <w:rsid w:val="00BA4A50"/>
    <w:rsid w:val="00BA53AA"/>
    <w:rsid w:val="00BB0053"/>
    <w:rsid w:val="00BB2C28"/>
    <w:rsid w:val="00BC6CBD"/>
    <w:rsid w:val="00BE35E7"/>
    <w:rsid w:val="00BE3B09"/>
    <w:rsid w:val="00BF0387"/>
    <w:rsid w:val="00BF5C58"/>
    <w:rsid w:val="00C12920"/>
    <w:rsid w:val="00C20D6F"/>
    <w:rsid w:val="00C336CA"/>
    <w:rsid w:val="00C342BC"/>
    <w:rsid w:val="00C44EFF"/>
    <w:rsid w:val="00C54826"/>
    <w:rsid w:val="00C633E7"/>
    <w:rsid w:val="00C635DC"/>
    <w:rsid w:val="00C66154"/>
    <w:rsid w:val="00C73794"/>
    <w:rsid w:val="00C9333B"/>
    <w:rsid w:val="00CA1CB9"/>
    <w:rsid w:val="00CA4695"/>
    <w:rsid w:val="00CA4966"/>
    <w:rsid w:val="00CA6CED"/>
    <w:rsid w:val="00CD1DAD"/>
    <w:rsid w:val="00CF06B0"/>
    <w:rsid w:val="00CF5E3C"/>
    <w:rsid w:val="00D00993"/>
    <w:rsid w:val="00D023EA"/>
    <w:rsid w:val="00D129B5"/>
    <w:rsid w:val="00D14E51"/>
    <w:rsid w:val="00D42E09"/>
    <w:rsid w:val="00D56882"/>
    <w:rsid w:val="00D624B7"/>
    <w:rsid w:val="00D674B8"/>
    <w:rsid w:val="00D67C29"/>
    <w:rsid w:val="00D92D3B"/>
    <w:rsid w:val="00D96773"/>
    <w:rsid w:val="00DA2157"/>
    <w:rsid w:val="00DA3C02"/>
    <w:rsid w:val="00DB1D4C"/>
    <w:rsid w:val="00DC0AA6"/>
    <w:rsid w:val="00DC1049"/>
    <w:rsid w:val="00DC24DA"/>
    <w:rsid w:val="00DC32E5"/>
    <w:rsid w:val="00DC7205"/>
    <w:rsid w:val="00DC7C6F"/>
    <w:rsid w:val="00DD3B5B"/>
    <w:rsid w:val="00DF3FE0"/>
    <w:rsid w:val="00E17FEE"/>
    <w:rsid w:val="00E23181"/>
    <w:rsid w:val="00E32A75"/>
    <w:rsid w:val="00E33651"/>
    <w:rsid w:val="00E37FA6"/>
    <w:rsid w:val="00E40BE2"/>
    <w:rsid w:val="00E448BE"/>
    <w:rsid w:val="00E53C6D"/>
    <w:rsid w:val="00E57EFB"/>
    <w:rsid w:val="00EB5AE0"/>
    <w:rsid w:val="00ED08FC"/>
    <w:rsid w:val="00ED6654"/>
    <w:rsid w:val="00EE63A4"/>
    <w:rsid w:val="00F0409E"/>
    <w:rsid w:val="00F210B7"/>
    <w:rsid w:val="00F219BD"/>
    <w:rsid w:val="00F35BC3"/>
    <w:rsid w:val="00F537A1"/>
    <w:rsid w:val="00F5535F"/>
    <w:rsid w:val="00F62034"/>
    <w:rsid w:val="00F635BA"/>
    <w:rsid w:val="00F70A7D"/>
    <w:rsid w:val="00F80FFE"/>
    <w:rsid w:val="00F901DB"/>
    <w:rsid w:val="00F937CC"/>
    <w:rsid w:val="00FC4D1C"/>
    <w:rsid w:val="00FD104B"/>
    <w:rsid w:val="00FD1455"/>
    <w:rsid w:val="00FE09CA"/>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2023-03-21T14:54:00Z</dcterms:created>
  <dcterms:modified xsi:type="dcterms:W3CDTF">2023-03-21T18:06:00Z</dcterms:modified>
</cp:coreProperties>
</file>