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A07A0" w14:textId="35EECDAE" w:rsidR="00E57DDA" w:rsidRDefault="00E33741" w:rsidP="00E57DDA">
      <w:pPr>
        <w:ind w:firstLine="0"/>
        <w:jc w:val="center"/>
        <w:rPr>
          <w:b/>
          <w:sz w:val="28"/>
          <w:szCs w:val="28"/>
          <w:u w:val="single"/>
        </w:rPr>
      </w:pPr>
      <w:r>
        <w:rPr>
          <w:b/>
          <w:sz w:val="28"/>
          <w:szCs w:val="28"/>
          <w:u w:val="single"/>
        </w:rPr>
        <w:t>EVIDENCE ESSENTIALS</w:t>
      </w:r>
      <w:r w:rsidR="00A770EE">
        <w:rPr>
          <w:b/>
          <w:sz w:val="28"/>
          <w:szCs w:val="28"/>
          <w:u w:val="single"/>
        </w:rPr>
        <w:t xml:space="preserve"> </w:t>
      </w:r>
      <w:r w:rsidR="00E57DDA" w:rsidRPr="00F53A64">
        <w:rPr>
          <w:b/>
          <w:sz w:val="28"/>
          <w:szCs w:val="28"/>
          <w:u w:val="single"/>
        </w:rPr>
        <w:t>PODCAST</w:t>
      </w:r>
      <w:r w:rsidR="00C276B9">
        <w:rPr>
          <w:b/>
          <w:sz w:val="28"/>
          <w:szCs w:val="28"/>
          <w:u w:val="single"/>
        </w:rPr>
        <w:t xml:space="preserve"> </w:t>
      </w:r>
    </w:p>
    <w:p w14:paraId="25554E3A" w14:textId="1690D143" w:rsidR="00183812" w:rsidRDefault="0091527E" w:rsidP="00E57DDA">
      <w:pPr>
        <w:ind w:firstLine="0"/>
        <w:jc w:val="center"/>
        <w:rPr>
          <w:b/>
          <w:sz w:val="28"/>
          <w:szCs w:val="28"/>
          <w:u w:val="single"/>
        </w:rPr>
      </w:pPr>
      <w:r>
        <w:rPr>
          <w:b/>
          <w:sz w:val="28"/>
          <w:szCs w:val="28"/>
          <w:u w:val="single"/>
        </w:rPr>
        <w:t>STATE v. ORR- PRE-ARREST SILENCE</w:t>
      </w:r>
    </w:p>
    <w:p w14:paraId="0C7451FA" w14:textId="77777777" w:rsidR="006B6476" w:rsidRPr="00F53A64" w:rsidRDefault="006B6476" w:rsidP="00E57DDA">
      <w:pPr>
        <w:ind w:firstLine="0"/>
        <w:jc w:val="center"/>
        <w:rPr>
          <w:b/>
          <w:sz w:val="28"/>
          <w:szCs w:val="28"/>
          <w:u w:val="single"/>
        </w:rPr>
      </w:pPr>
    </w:p>
    <w:p w14:paraId="17838F1C" w14:textId="4B9B7226" w:rsidR="00C45932" w:rsidRDefault="002469E5" w:rsidP="00737D92">
      <w:pPr>
        <w:pStyle w:val="ListParaNoIndent"/>
        <w:numPr>
          <w:ilvl w:val="1"/>
          <w:numId w:val="2"/>
        </w:numPr>
        <w:tabs>
          <w:tab w:val="clear" w:pos="43"/>
          <w:tab w:val="clear" w:pos="432"/>
        </w:tabs>
        <w:spacing w:line="480" w:lineRule="auto"/>
        <w:ind w:left="720"/>
        <w:jc w:val="both"/>
        <w:rPr>
          <w:szCs w:val="28"/>
        </w:rPr>
      </w:pPr>
      <w:r>
        <w:rPr>
          <w:szCs w:val="28"/>
        </w:rPr>
        <w:t>You asked for episodes dealing with evidence issues</w:t>
      </w:r>
    </w:p>
    <w:p w14:paraId="2576F13A" w14:textId="28C768C2" w:rsidR="002469E5" w:rsidRPr="00906E00" w:rsidRDefault="002469E5" w:rsidP="00737D92">
      <w:pPr>
        <w:pStyle w:val="ListParaNoIndent"/>
        <w:numPr>
          <w:ilvl w:val="1"/>
          <w:numId w:val="2"/>
        </w:numPr>
        <w:tabs>
          <w:tab w:val="clear" w:pos="43"/>
          <w:tab w:val="clear" w:pos="432"/>
        </w:tabs>
        <w:spacing w:line="480" w:lineRule="auto"/>
        <w:ind w:left="720"/>
        <w:jc w:val="both"/>
        <w:rPr>
          <w:szCs w:val="28"/>
        </w:rPr>
      </w:pPr>
      <w:r>
        <w:rPr>
          <w:szCs w:val="28"/>
        </w:rPr>
        <w:t>“Evidence Essentials”</w:t>
      </w:r>
    </w:p>
    <w:p w14:paraId="0758AD78" w14:textId="77777777" w:rsidR="00B249A6" w:rsidRDefault="002469E5" w:rsidP="00737D92">
      <w:pPr>
        <w:pStyle w:val="ListParaNoIndent"/>
        <w:numPr>
          <w:ilvl w:val="1"/>
          <w:numId w:val="2"/>
        </w:numPr>
        <w:tabs>
          <w:tab w:val="clear" w:pos="43"/>
          <w:tab w:val="clear" w:pos="432"/>
        </w:tabs>
        <w:spacing w:line="480" w:lineRule="auto"/>
        <w:ind w:left="720"/>
        <w:jc w:val="both"/>
        <w:rPr>
          <w:szCs w:val="28"/>
        </w:rPr>
      </w:pPr>
      <w:r>
        <w:rPr>
          <w:szCs w:val="28"/>
        </w:rPr>
        <w:t>Garon Muller helping us with these evidence episodes</w:t>
      </w:r>
    </w:p>
    <w:p w14:paraId="5C910F93" w14:textId="37B72023" w:rsidR="00B249A6" w:rsidRPr="00B249A6" w:rsidRDefault="0091527E" w:rsidP="00737D92">
      <w:pPr>
        <w:pStyle w:val="ListParaNoIndent"/>
        <w:numPr>
          <w:ilvl w:val="1"/>
          <w:numId w:val="2"/>
        </w:numPr>
        <w:tabs>
          <w:tab w:val="clear" w:pos="43"/>
          <w:tab w:val="clear" w:pos="432"/>
        </w:tabs>
        <w:spacing w:line="480" w:lineRule="auto"/>
        <w:ind w:left="720"/>
        <w:jc w:val="both"/>
        <w:rPr>
          <w:szCs w:val="28"/>
        </w:rPr>
      </w:pPr>
      <w:r w:rsidRPr="00B249A6">
        <w:rPr>
          <w:szCs w:val="28"/>
        </w:rPr>
        <w:t xml:space="preserve">Pre-arrest silence- </w:t>
      </w:r>
      <w:hyperlink r:id="rId8" w:history="1">
        <w:r w:rsidRPr="00B249A6">
          <w:rPr>
            <w:rStyle w:val="Hyperlink"/>
            <w:i/>
            <w:iCs/>
            <w:szCs w:val="28"/>
          </w:rPr>
          <w:t>Mallory v. State</w:t>
        </w:r>
        <w:r w:rsidRPr="00B249A6">
          <w:rPr>
            <w:rStyle w:val="Hyperlink"/>
            <w:szCs w:val="28"/>
          </w:rPr>
          <w:t>, 261 Ga. 625, 409 S.E.2d 839 (1991)</w:t>
        </w:r>
      </w:hyperlink>
      <w:r w:rsidRPr="00B249A6">
        <w:rPr>
          <w:szCs w:val="28"/>
        </w:rPr>
        <w:t>.</w:t>
      </w:r>
    </w:p>
    <w:p w14:paraId="4105BA1D" w14:textId="7B5F31CB" w:rsidR="00B249A6" w:rsidRPr="00B249A6" w:rsidRDefault="00B249A6" w:rsidP="00737D92">
      <w:pPr>
        <w:pStyle w:val="ListParaNoIndent"/>
        <w:numPr>
          <w:ilvl w:val="1"/>
          <w:numId w:val="2"/>
        </w:numPr>
        <w:tabs>
          <w:tab w:val="clear" w:pos="43"/>
          <w:tab w:val="clear" w:pos="432"/>
        </w:tabs>
        <w:spacing w:line="480" w:lineRule="auto"/>
        <w:ind w:left="720"/>
        <w:jc w:val="both"/>
        <w:rPr>
          <w:u w:val="single"/>
        </w:rPr>
      </w:pPr>
      <w:r>
        <w:t xml:space="preserve">Under </w:t>
      </w:r>
      <w:r w:rsidRPr="00B249A6">
        <w:rPr>
          <w:b/>
          <w:bCs/>
          <w:i/>
          <w:iCs/>
          <w:u w:val="single"/>
        </w:rPr>
        <w:t>Mallory</w:t>
      </w:r>
      <w:r>
        <w:t xml:space="preserve">, </w:t>
      </w:r>
      <w:r w:rsidR="009251E6">
        <w:t xml:space="preserve">a bright-line rule was created than </w:t>
      </w:r>
      <w:r>
        <w:t xml:space="preserve">a prosecutor’s comment on </w:t>
      </w:r>
      <w:r w:rsidR="009251E6">
        <w:t>p</w:t>
      </w:r>
      <w:r>
        <w:t>re-arrest silence was improper as it was more prejudicial than probative.</w:t>
      </w:r>
    </w:p>
    <w:p w14:paraId="6D6A8197" w14:textId="7E43ADF4" w:rsidR="0091527E" w:rsidRDefault="00737D92" w:rsidP="00737D92">
      <w:pPr>
        <w:pStyle w:val="ListParaNoIndent"/>
        <w:numPr>
          <w:ilvl w:val="1"/>
          <w:numId w:val="2"/>
        </w:numPr>
        <w:tabs>
          <w:tab w:val="clear" w:pos="43"/>
          <w:tab w:val="clear" w:pos="432"/>
        </w:tabs>
        <w:spacing w:line="480" w:lineRule="auto"/>
        <w:ind w:left="720"/>
        <w:jc w:val="both"/>
        <w:rPr>
          <w:szCs w:val="28"/>
        </w:rPr>
      </w:pPr>
      <w:r>
        <w:rPr>
          <w:szCs w:val="28"/>
        </w:rPr>
        <w:t>T</w:t>
      </w:r>
      <w:r w:rsidR="00C82006" w:rsidRPr="00C82006">
        <w:rPr>
          <w:szCs w:val="28"/>
        </w:rPr>
        <w:t>he Evidence Code, which took effect on January 1, 2013, precludes courts from promulgating or perpetuating judge-made exclusionary rules of evidence like the one created in </w:t>
      </w:r>
      <w:hyperlink r:id="rId9" w:history="1">
        <w:r w:rsidR="00C82006" w:rsidRPr="00C82006">
          <w:rPr>
            <w:rStyle w:val="Hyperlink"/>
            <w:i/>
            <w:iCs/>
            <w:szCs w:val="28"/>
          </w:rPr>
          <w:t>Mallory</w:t>
        </w:r>
      </w:hyperlink>
      <w:r w:rsidR="00C82006" w:rsidRPr="00C82006">
        <w:rPr>
          <w:szCs w:val="28"/>
        </w:rPr>
        <w:t>, and instead generally requires trial courts to determine the admissibility of evidence based on the facts of the specific case and the rules set forth in the Evidence Code, including </w:t>
      </w:r>
      <w:hyperlink r:id="rId10" w:history="1">
        <w:r w:rsidR="00C82006" w:rsidRPr="00C82006">
          <w:rPr>
            <w:rStyle w:val="Hyperlink"/>
            <w:szCs w:val="28"/>
          </w:rPr>
          <w:t>OCGA § 24-4-403</w:t>
        </w:r>
      </w:hyperlink>
      <w:r w:rsidR="00C82006">
        <w:rPr>
          <w:szCs w:val="28"/>
        </w:rPr>
        <w:t xml:space="preserve"> (Probative vs. Prejudicial impact)</w:t>
      </w:r>
    </w:p>
    <w:p w14:paraId="00BB593F" w14:textId="2536AF71" w:rsidR="00DF09C5" w:rsidRDefault="00FB1610" w:rsidP="00737D92">
      <w:pPr>
        <w:pStyle w:val="ListParaNoIndent"/>
        <w:numPr>
          <w:ilvl w:val="1"/>
          <w:numId w:val="2"/>
        </w:numPr>
        <w:tabs>
          <w:tab w:val="clear" w:pos="43"/>
          <w:tab w:val="clear" w:pos="432"/>
        </w:tabs>
        <w:spacing w:line="480" w:lineRule="auto"/>
        <w:ind w:left="720"/>
        <w:jc w:val="both"/>
        <w:rPr>
          <w:szCs w:val="28"/>
        </w:rPr>
      </w:pPr>
      <w:r>
        <w:rPr>
          <w:szCs w:val="28"/>
        </w:rPr>
        <w:t xml:space="preserve">This ruling should have far-reaching outcomes, as the Supreme Court has stated that </w:t>
      </w:r>
      <w:r w:rsidR="008F3E08">
        <w:rPr>
          <w:szCs w:val="28"/>
        </w:rPr>
        <w:t>case-made law prior to the implementation of the 2013 Evidence code is abrogated.</w:t>
      </w:r>
    </w:p>
    <w:p w14:paraId="1C5D9CD9" w14:textId="51F1CCD2" w:rsidR="008F3E08" w:rsidRDefault="008F3E08" w:rsidP="00737D92">
      <w:pPr>
        <w:pStyle w:val="ListParaNoIndent"/>
        <w:numPr>
          <w:ilvl w:val="2"/>
          <w:numId w:val="2"/>
        </w:numPr>
        <w:tabs>
          <w:tab w:val="clear" w:pos="43"/>
          <w:tab w:val="clear" w:pos="432"/>
        </w:tabs>
        <w:spacing w:line="480" w:lineRule="auto"/>
        <w:ind w:left="1620"/>
        <w:jc w:val="both"/>
        <w:rPr>
          <w:szCs w:val="28"/>
        </w:rPr>
      </w:pPr>
      <w:r>
        <w:rPr>
          <w:szCs w:val="28"/>
        </w:rPr>
        <w:lastRenderedPageBreak/>
        <w:t xml:space="preserve">Remember- </w:t>
      </w:r>
      <w:r w:rsidRPr="008F3E08">
        <w:rPr>
          <w:szCs w:val="28"/>
        </w:rPr>
        <w:t xml:space="preserve">Where rules in the </w:t>
      </w:r>
      <w:r>
        <w:rPr>
          <w:szCs w:val="28"/>
        </w:rPr>
        <w:t>2013</w:t>
      </w:r>
      <w:r w:rsidRPr="008F3E08">
        <w:rPr>
          <w:szCs w:val="28"/>
        </w:rPr>
        <w:t xml:space="preserve"> Evidence Code are materially identical to Federal Rules of Evidence, courts look to federal appellate law, and in particular the decisions of the United States Supreme Court and the Eleventh Circuit, to interpret them, instead of following state court precedent issued under the old Evidence Code.</w:t>
      </w:r>
    </w:p>
    <w:p w14:paraId="4D7B6245" w14:textId="64E06085" w:rsidR="00EB29F1" w:rsidRPr="00906E00" w:rsidRDefault="00951642" w:rsidP="00737D92">
      <w:pPr>
        <w:pStyle w:val="ListParaNoIndent"/>
        <w:numPr>
          <w:ilvl w:val="0"/>
          <w:numId w:val="0"/>
        </w:numPr>
        <w:tabs>
          <w:tab w:val="clear" w:pos="43"/>
          <w:tab w:val="clear" w:pos="432"/>
        </w:tabs>
        <w:spacing w:line="480" w:lineRule="auto"/>
        <w:jc w:val="both"/>
        <w:rPr>
          <w:szCs w:val="28"/>
        </w:rPr>
      </w:pPr>
      <w:r>
        <w:rPr>
          <w:szCs w:val="28"/>
        </w:rPr>
        <w:pict w14:anchorId="0EE3B14D">
          <v:rect id="_x0000_i1026" style="width:0;height:1.5pt" o:hralign="center" o:hrstd="t" o:hr="t" fillcolor="#a0a0a0" stroked="f"/>
        </w:pict>
      </w:r>
    </w:p>
    <w:p w14:paraId="2F5C51A8" w14:textId="6BEC777E" w:rsidR="009578B7" w:rsidRPr="009578B7" w:rsidRDefault="00EF21F0" w:rsidP="00A71C6F">
      <w:pPr>
        <w:pStyle w:val="ListParaNoIndent"/>
        <w:numPr>
          <w:ilvl w:val="0"/>
          <w:numId w:val="0"/>
        </w:numPr>
        <w:spacing w:line="480" w:lineRule="auto"/>
        <w:jc w:val="center"/>
        <w:rPr>
          <w:i/>
          <w:iCs/>
          <w:szCs w:val="28"/>
        </w:rPr>
      </w:pPr>
      <w:r>
        <w:rPr>
          <w:b/>
          <w:bCs/>
          <w:szCs w:val="28"/>
          <w:u w:val="single"/>
        </w:rPr>
        <w:t xml:space="preserve">THE </w:t>
      </w:r>
      <w:r w:rsidR="008F3E08">
        <w:rPr>
          <w:b/>
          <w:bCs/>
          <w:szCs w:val="28"/>
          <w:u w:val="single"/>
        </w:rPr>
        <w:t>FACTS OF STATE V. ORR</w:t>
      </w:r>
    </w:p>
    <w:p w14:paraId="5A6E1F3D" w14:textId="5D8FBD44" w:rsidR="009E5EC7" w:rsidRPr="00B249A6" w:rsidRDefault="00B249A6" w:rsidP="00737D92">
      <w:pPr>
        <w:pStyle w:val="ListParaNoIndent"/>
        <w:numPr>
          <w:ilvl w:val="0"/>
          <w:numId w:val="20"/>
        </w:numPr>
        <w:spacing w:line="480" w:lineRule="auto"/>
        <w:jc w:val="both"/>
        <w:rPr>
          <w:szCs w:val="28"/>
          <w:u w:val="single"/>
        </w:rPr>
      </w:pPr>
      <w:r>
        <w:rPr>
          <w:szCs w:val="28"/>
        </w:rPr>
        <w:t xml:space="preserve">Orr was accused of brutally beating his wife. At trial, Orr testified that the victim was addicted to drugs and would physically attack him when she got angry. </w:t>
      </w:r>
    </w:p>
    <w:p w14:paraId="6E5CB08B" w14:textId="7A9E97D8" w:rsidR="00B249A6" w:rsidRPr="00B249A6" w:rsidRDefault="00B249A6" w:rsidP="00737D92">
      <w:pPr>
        <w:pStyle w:val="ListParaNoIndent"/>
        <w:numPr>
          <w:ilvl w:val="0"/>
          <w:numId w:val="20"/>
        </w:numPr>
        <w:spacing w:line="480" w:lineRule="auto"/>
        <w:jc w:val="both"/>
        <w:rPr>
          <w:szCs w:val="28"/>
          <w:u w:val="single"/>
        </w:rPr>
      </w:pPr>
      <w:r>
        <w:rPr>
          <w:szCs w:val="28"/>
        </w:rPr>
        <w:t>Orr testified that on the night of the event for which he was charged, he was on the phone with his sister when the victim hit him in the head with an ash tray. Defendant Orr responded by hitting the victim on</w:t>
      </w:r>
      <w:r w:rsidR="00A71C6F">
        <w:rPr>
          <w:szCs w:val="28"/>
        </w:rPr>
        <w:t xml:space="preserve">ce </w:t>
      </w:r>
      <w:r>
        <w:rPr>
          <w:szCs w:val="28"/>
        </w:rPr>
        <w:t>with a closed fist.</w:t>
      </w:r>
    </w:p>
    <w:p w14:paraId="085EB26D" w14:textId="2028C582" w:rsidR="00B249A6" w:rsidRDefault="00B249A6" w:rsidP="00737D92">
      <w:pPr>
        <w:pStyle w:val="ListParaNoIndent"/>
        <w:numPr>
          <w:ilvl w:val="0"/>
          <w:numId w:val="20"/>
        </w:numPr>
        <w:spacing w:line="480" w:lineRule="auto"/>
        <w:jc w:val="both"/>
        <w:rPr>
          <w:szCs w:val="28"/>
        </w:rPr>
      </w:pPr>
      <w:r w:rsidRPr="00B249A6">
        <w:rPr>
          <w:szCs w:val="28"/>
        </w:rPr>
        <w:t xml:space="preserve">To rebut this defense, the prosecutor repeatedly asked witnesses about Orr’s failure to call the police to report the abuse and injuries allegedly inflicted on him by </w:t>
      </w:r>
      <w:r w:rsidR="00A71C6F">
        <w:rPr>
          <w:szCs w:val="28"/>
        </w:rPr>
        <w:t>the victim</w:t>
      </w:r>
      <w:r w:rsidRPr="00B249A6">
        <w:rPr>
          <w:szCs w:val="28"/>
        </w:rPr>
        <w:t>.</w:t>
      </w:r>
      <w:r w:rsidR="005C6370">
        <w:rPr>
          <w:szCs w:val="28"/>
        </w:rPr>
        <w:t xml:space="preserve"> </w:t>
      </w:r>
    </w:p>
    <w:p w14:paraId="6F229321" w14:textId="3039DB54" w:rsidR="005C6370" w:rsidRDefault="005C6370" w:rsidP="00737D92">
      <w:pPr>
        <w:pStyle w:val="ListParaNoIndent"/>
        <w:numPr>
          <w:ilvl w:val="0"/>
          <w:numId w:val="20"/>
        </w:numPr>
        <w:spacing w:line="480" w:lineRule="auto"/>
        <w:jc w:val="both"/>
        <w:rPr>
          <w:szCs w:val="28"/>
        </w:rPr>
      </w:pPr>
      <w:r>
        <w:rPr>
          <w:szCs w:val="28"/>
        </w:rPr>
        <w:t xml:space="preserve">In closing, the prosecutor commented that Orr had never told the police or anyone else this version of the facts. </w:t>
      </w:r>
    </w:p>
    <w:p w14:paraId="1ACFF60C" w14:textId="4B2CF0B4" w:rsidR="005C6370" w:rsidRDefault="005C6370" w:rsidP="00737D92">
      <w:pPr>
        <w:pStyle w:val="ListParaNoIndent"/>
        <w:numPr>
          <w:ilvl w:val="0"/>
          <w:numId w:val="20"/>
        </w:numPr>
        <w:spacing w:line="480" w:lineRule="auto"/>
        <w:jc w:val="both"/>
        <w:rPr>
          <w:szCs w:val="28"/>
        </w:rPr>
      </w:pPr>
      <w:r>
        <w:rPr>
          <w:szCs w:val="28"/>
        </w:rPr>
        <w:lastRenderedPageBreak/>
        <w:t>Defense Counsel objected and moved for mistrial but the Trial Court denied the motion without explanation.</w:t>
      </w:r>
    </w:p>
    <w:p w14:paraId="161B10F2" w14:textId="08098E77" w:rsidR="005C6370" w:rsidRPr="005C6370" w:rsidRDefault="005C6370" w:rsidP="00737D92">
      <w:pPr>
        <w:pStyle w:val="ListParaNoIndent"/>
        <w:numPr>
          <w:ilvl w:val="0"/>
          <w:numId w:val="20"/>
        </w:numPr>
        <w:spacing w:line="480" w:lineRule="auto"/>
        <w:jc w:val="both"/>
        <w:rPr>
          <w:szCs w:val="28"/>
        </w:rPr>
      </w:pPr>
      <w:r>
        <w:rPr>
          <w:szCs w:val="28"/>
        </w:rPr>
        <w:t xml:space="preserve">Orr was convicted and appealed. The Appellate Court found that </w:t>
      </w:r>
      <w:r>
        <w:rPr>
          <w:b/>
          <w:bCs/>
          <w:i/>
          <w:iCs/>
          <w:szCs w:val="28"/>
          <w:u w:val="single"/>
        </w:rPr>
        <w:t>Mallory</w:t>
      </w:r>
      <w:r>
        <w:t xml:space="preserve"> was still the law until abrogated by the Supreme Court. </w:t>
      </w:r>
    </w:p>
    <w:p w14:paraId="71AB2C6A" w14:textId="30E2A292" w:rsidR="005C6370" w:rsidRPr="005C6370" w:rsidRDefault="005C6370" w:rsidP="00A71C6F">
      <w:pPr>
        <w:pStyle w:val="ListParaNoIndent"/>
        <w:numPr>
          <w:ilvl w:val="0"/>
          <w:numId w:val="0"/>
        </w:numPr>
        <w:spacing w:line="480" w:lineRule="auto"/>
        <w:ind w:left="360"/>
        <w:jc w:val="center"/>
        <w:rPr>
          <w:b/>
          <w:bCs/>
          <w:szCs w:val="28"/>
          <w:u w:val="single"/>
        </w:rPr>
      </w:pPr>
      <w:r>
        <w:rPr>
          <w:b/>
          <w:bCs/>
          <w:u w:val="single"/>
        </w:rPr>
        <w:t>THE HOLDING OF THE SUPREME COURT</w:t>
      </w:r>
    </w:p>
    <w:p w14:paraId="17C7C911" w14:textId="1B8DE428" w:rsidR="00DF09C5" w:rsidRDefault="00951642" w:rsidP="00737D92">
      <w:pPr>
        <w:pStyle w:val="ListParaNoIndent"/>
        <w:numPr>
          <w:ilvl w:val="0"/>
          <w:numId w:val="20"/>
        </w:numPr>
        <w:spacing w:line="480" w:lineRule="auto"/>
        <w:jc w:val="both"/>
        <w:rPr>
          <w:szCs w:val="28"/>
        </w:rPr>
      </w:pPr>
      <w:hyperlink r:id="rId11" w:history="1">
        <w:r w:rsidR="005C6370" w:rsidRPr="005C6370">
          <w:rPr>
            <w:rStyle w:val="Hyperlink"/>
            <w:i/>
            <w:iCs/>
            <w:szCs w:val="28"/>
          </w:rPr>
          <w:t>Mallory</w:t>
        </w:r>
      </w:hyperlink>
      <w:r w:rsidR="005C6370" w:rsidRPr="005C6370">
        <w:rPr>
          <w:szCs w:val="28"/>
          <w:u w:val="single"/>
        </w:rPr>
        <w:t>’s</w:t>
      </w:r>
      <w:r w:rsidR="005C6370" w:rsidRPr="005C6370">
        <w:rPr>
          <w:szCs w:val="28"/>
        </w:rPr>
        <w:t xml:space="preserve"> categorical exclusionary rule is best characterized as judicial lawmaking: a rule excluding a certain type of evidence based on the Court’s view of good policy, operating only prospectively (like most legislation and unlike normal judicial decisions</w:t>
      </w:r>
      <w:r w:rsidR="005C6370">
        <w:rPr>
          <w:szCs w:val="28"/>
        </w:rPr>
        <w:t>)</w:t>
      </w:r>
    </w:p>
    <w:p w14:paraId="2D7692F9" w14:textId="213A244B" w:rsidR="00D21DE9" w:rsidRPr="00D21DE9" w:rsidRDefault="00D21DE9" w:rsidP="00737D92">
      <w:pPr>
        <w:pStyle w:val="ListParaNoIndent"/>
        <w:numPr>
          <w:ilvl w:val="0"/>
          <w:numId w:val="20"/>
        </w:numPr>
        <w:spacing w:line="480" w:lineRule="auto"/>
        <w:jc w:val="both"/>
        <w:rPr>
          <w:szCs w:val="28"/>
        </w:rPr>
      </w:pPr>
      <w:r>
        <w:rPr>
          <w:b/>
          <w:bCs/>
          <w:i/>
          <w:iCs/>
          <w:szCs w:val="28"/>
          <w:u w:val="single"/>
        </w:rPr>
        <w:t>Mallory</w:t>
      </w:r>
      <w:r>
        <w:t xml:space="preserve"> was abrogated by the implementation of the 2013 Evidence Code. </w:t>
      </w:r>
    </w:p>
    <w:p w14:paraId="4E8F1EDF" w14:textId="4B57C607" w:rsidR="00D21DE9" w:rsidRDefault="00D21DE9" w:rsidP="00737D92">
      <w:pPr>
        <w:pStyle w:val="ListParaNoIndent"/>
        <w:numPr>
          <w:ilvl w:val="0"/>
          <w:numId w:val="20"/>
        </w:numPr>
        <w:spacing w:line="480" w:lineRule="auto"/>
        <w:jc w:val="both"/>
        <w:rPr>
          <w:szCs w:val="28"/>
        </w:rPr>
      </w:pPr>
      <w:r>
        <w:rPr>
          <w:szCs w:val="28"/>
        </w:rPr>
        <w:t>The Court then determin</w:t>
      </w:r>
      <w:r w:rsidR="00A71C6F">
        <w:rPr>
          <w:szCs w:val="28"/>
        </w:rPr>
        <w:t>ed the</w:t>
      </w:r>
      <w:r>
        <w:rPr>
          <w:szCs w:val="28"/>
        </w:rPr>
        <w:t xml:space="preserve"> admissibility of Orr’s pre-arrest silence </w:t>
      </w:r>
      <w:r w:rsidR="00A71C6F">
        <w:rPr>
          <w:szCs w:val="28"/>
        </w:rPr>
        <w:t xml:space="preserve">through the lens of the 2013 Evidence Code. </w:t>
      </w:r>
    </w:p>
    <w:p w14:paraId="44EED218" w14:textId="50B2B1DB" w:rsidR="00D21DE9" w:rsidRDefault="00A71C6F" w:rsidP="00737D92">
      <w:pPr>
        <w:pStyle w:val="ListParaNoIndent"/>
        <w:numPr>
          <w:ilvl w:val="1"/>
          <w:numId w:val="20"/>
        </w:numPr>
        <w:spacing w:line="480" w:lineRule="auto"/>
        <w:jc w:val="both"/>
        <w:rPr>
          <w:szCs w:val="28"/>
        </w:rPr>
      </w:pPr>
      <w:r>
        <w:rPr>
          <w:szCs w:val="28"/>
        </w:rPr>
        <w:t>As an aside, t</w:t>
      </w:r>
      <w:r w:rsidR="00D21DE9">
        <w:rPr>
          <w:szCs w:val="28"/>
        </w:rPr>
        <w:t>his</w:t>
      </w:r>
      <w:r>
        <w:rPr>
          <w:szCs w:val="28"/>
        </w:rPr>
        <w:t xml:space="preserve"> ruling</w:t>
      </w:r>
      <w:r w:rsidR="00D21DE9">
        <w:rPr>
          <w:szCs w:val="28"/>
        </w:rPr>
        <w:t xml:space="preserve"> is a great guide to determine the admissibility of any evidence. The Court goes through the step by step process</w:t>
      </w:r>
      <w:r>
        <w:rPr>
          <w:szCs w:val="28"/>
        </w:rPr>
        <w:t xml:space="preserve"> that we should consider when determining the admissibility of statement evidence. </w:t>
      </w:r>
    </w:p>
    <w:p w14:paraId="799969B5" w14:textId="6FA213E1" w:rsidR="0055203B" w:rsidRDefault="0055203B" w:rsidP="00737D92">
      <w:pPr>
        <w:pStyle w:val="ListParaNoIndent"/>
        <w:numPr>
          <w:ilvl w:val="1"/>
          <w:numId w:val="20"/>
        </w:numPr>
        <w:spacing w:line="480" w:lineRule="auto"/>
        <w:jc w:val="both"/>
        <w:rPr>
          <w:szCs w:val="28"/>
        </w:rPr>
      </w:pPr>
      <w:r>
        <w:rPr>
          <w:szCs w:val="28"/>
        </w:rPr>
        <w:t xml:space="preserve">The Court starts with </w:t>
      </w:r>
      <w:r>
        <w:rPr>
          <w:b/>
          <w:bCs/>
          <w:szCs w:val="28"/>
          <w:u w:val="single"/>
        </w:rPr>
        <w:t>Rule 401</w:t>
      </w:r>
      <w:r>
        <w:rPr>
          <w:szCs w:val="28"/>
        </w:rPr>
        <w:t xml:space="preserve"> and then moves toward more specific evidentiary rules. </w:t>
      </w:r>
    </w:p>
    <w:p w14:paraId="0A450BD8" w14:textId="7A41AF6F" w:rsidR="00D21DE9" w:rsidRDefault="00D21DE9" w:rsidP="00737D92">
      <w:pPr>
        <w:pStyle w:val="ListParaNoIndent"/>
        <w:numPr>
          <w:ilvl w:val="0"/>
          <w:numId w:val="20"/>
        </w:numPr>
        <w:spacing w:line="480" w:lineRule="auto"/>
        <w:jc w:val="both"/>
        <w:rPr>
          <w:szCs w:val="28"/>
        </w:rPr>
      </w:pPr>
      <w:r>
        <w:rPr>
          <w:szCs w:val="28"/>
        </w:rPr>
        <w:lastRenderedPageBreak/>
        <w:t xml:space="preserve">Specifically, the Court considered whether Orr’s failure to come forward </w:t>
      </w:r>
      <w:r w:rsidR="00A71C6F">
        <w:rPr>
          <w:szCs w:val="28"/>
        </w:rPr>
        <w:t>was</w:t>
      </w:r>
      <w:r>
        <w:rPr>
          <w:szCs w:val="28"/>
        </w:rPr>
        <w:t xml:space="preserve"> an Admission by a Party Opponent </w:t>
      </w:r>
      <w:r w:rsidR="00A71C6F">
        <w:rPr>
          <w:szCs w:val="28"/>
        </w:rPr>
        <w:t xml:space="preserve">under </w:t>
      </w:r>
      <w:r w:rsidR="00A71C6F">
        <w:rPr>
          <w:b/>
          <w:bCs/>
          <w:szCs w:val="28"/>
          <w:u w:val="single"/>
        </w:rPr>
        <w:t>Rule 801</w:t>
      </w:r>
      <w:r w:rsidR="00A71C6F">
        <w:rPr>
          <w:szCs w:val="28"/>
        </w:rPr>
        <w:t>.</w:t>
      </w:r>
    </w:p>
    <w:p w14:paraId="6EE84A92" w14:textId="221A946E" w:rsidR="00D21DE9" w:rsidRDefault="00D21DE9" w:rsidP="00737D92">
      <w:pPr>
        <w:pStyle w:val="ListParaNoIndent"/>
        <w:numPr>
          <w:ilvl w:val="0"/>
          <w:numId w:val="20"/>
        </w:numPr>
        <w:spacing w:line="480" w:lineRule="auto"/>
        <w:jc w:val="both"/>
        <w:rPr>
          <w:szCs w:val="28"/>
        </w:rPr>
      </w:pPr>
      <w:r w:rsidRPr="00D21DE9">
        <w:rPr>
          <w:szCs w:val="28"/>
        </w:rPr>
        <w:t>First, the Court considered whether this was an</w:t>
      </w:r>
      <w:r>
        <w:rPr>
          <w:szCs w:val="28"/>
        </w:rPr>
        <w:t xml:space="preserve"> </w:t>
      </w:r>
      <w:r w:rsidRPr="00D21DE9">
        <w:rPr>
          <w:b/>
          <w:bCs/>
          <w:szCs w:val="28"/>
          <w:u w:val="single"/>
        </w:rPr>
        <w:t>adoptive admission</w:t>
      </w:r>
      <w:r>
        <w:rPr>
          <w:szCs w:val="28"/>
        </w:rPr>
        <w:t xml:space="preserve"> under 801(d)(2)(b)</w:t>
      </w:r>
    </w:p>
    <w:p w14:paraId="5BA5E1B9" w14:textId="77777777" w:rsidR="00D21DE9" w:rsidRDefault="00D21DE9" w:rsidP="00737D92">
      <w:pPr>
        <w:pStyle w:val="ListParaNoIndent"/>
        <w:numPr>
          <w:ilvl w:val="1"/>
          <w:numId w:val="20"/>
        </w:numPr>
        <w:spacing w:line="480" w:lineRule="auto"/>
        <w:jc w:val="both"/>
        <w:rPr>
          <w:szCs w:val="28"/>
        </w:rPr>
      </w:pPr>
      <w:r w:rsidRPr="00D21DE9">
        <w:rPr>
          <w:szCs w:val="28"/>
        </w:rPr>
        <w:t xml:space="preserve"> the trial court must find that two criteria were met: </w:t>
      </w:r>
    </w:p>
    <w:p w14:paraId="73FD01E1" w14:textId="698DB894" w:rsidR="00D21DE9" w:rsidRDefault="00D21DE9" w:rsidP="00737D92">
      <w:pPr>
        <w:pStyle w:val="ListParaNoIndent"/>
        <w:numPr>
          <w:ilvl w:val="2"/>
          <w:numId w:val="20"/>
        </w:numPr>
        <w:spacing w:line="480" w:lineRule="auto"/>
        <w:jc w:val="both"/>
        <w:rPr>
          <w:szCs w:val="28"/>
        </w:rPr>
      </w:pPr>
      <w:r w:rsidRPr="00D21DE9">
        <w:rPr>
          <w:szCs w:val="28"/>
        </w:rPr>
        <w:t>first, the statement was such that, under the circumstances, an innocent defendant would normally be induced to respond</w:t>
      </w:r>
      <w:r w:rsidR="00A71C6F">
        <w:rPr>
          <w:szCs w:val="28"/>
        </w:rPr>
        <w:t>,</w:t>
      </w:r>
      <w:r>
        <w:rPr>
          <w:szCs w:val="28"/>
        </w:rPr>
        <w:t xml:space="preserve"> </w:t>
      </w:r>
      <w:r w:rsidRPr="00D21DE9">
        <w:rPr>
          <w:szCs w:val="28"/>
        </w:rPr>
        <w:t xml:space="preserve">and </w:t>
      </w:r>
    </w:p>
    <w:p w14:paraId="223A63EB" w14:textId="0D813731" w:rsidR="00D21DE9" w:rsidRDefault="00D21DE9" w:rsidP="00737D92">
      <w:pPr>
        <w:pStyle w:val="ListParaNoIndent"/>
        <w:numPr>
          <w:ilvl w:val="2"/>
          <w:numId w:val="20"/>
        </w:numPr>
        <w:spacing w:line="480" w:lineRule="auto"/>
        <w:jc w:val="both"/>
        <w:rPr>
          <w:szCs w:val="28"/>
        </w:rPr>
      </w:pPr>
      <w:r w:rsidRPr="00D21DE9">
        <w:rPr>
          <w:szCs w:val="28"/>
        </w:rPr>
        <w:t xml:space="preserve">second, that </w:t>
      </w:r>
      <w:r>
        <w:rPr>
          <w:szCs w:val="28"/>
        </w:rPr>
        <w:t>t</w:t>
      </w:r>
      <w:r w:rsidRPr="00D21DE9">
        <w:rPr>
          <w:szCs w:val="28"/>
        </w:rPr>
        <w:t>here are sufficient foundational facts from which the jury could infer that the defendant heard, understood, and acquiesced in the statement.</w:t>
      </w:r>
    </w:p>
    <w:p w14:paraId="312F0DC5" w14:textId="1ECDD6F3" w:rsidR="00D21DE9" w:rsidRDefault="00D21DE9" w:rsidP="00737D92">
      <w:pPr>
        <w:pStyle w:val="ListParaNoIndent"/>
        <w:numPr>
          <w:ilvl w:val="0"/>
          <w:numId w:val="20"/>
        </w:numPr>
        <w:spacing w:line="480" w:lineRule="auto"/>
        <w:jc w:val="both"/>
        <w:rPr>
          <w:szCs w:val="28"/>
        </w:rPr>
      </w:pPr>
      <w:r>
        <w:rPr>
          <w:szCs w:val="28"/>
        </w:rPr>
        <w:t xml:space="preserve">Next, the Court considered whether this was the party’s own statement under 801(d)(2)(A). </w:t>
      </w:r>
    </w:p>
    <w:p w14:paraId="59BBFA8C" w14:textId="0BF39BB6" w:rsidR="000A551E" w:rsidRDefault="000A551E" w:rsidP="00737D92">
      <w:pPr>
        <w:pStyle w:val="ListParaNoIndent"/>
        <w:numPr>
          <w:ilvl w:val="1"/>
          <w:numId w:val="20"/>
        </w:numPr>
        <w:spacing w:line="480" w:lineRule="auto"/>
        <w:jc w:val="both"/>
        <w:rPr>
          <w:szCs w:val="28"/>
        </w:rPr>
      </w:pPr>
      <w:r w:rsidRPr="000A551E">
        <w:rPr>
          <w:szCs w:val="28"/>
        </w:rPr>
        <w:t> but to be such a “statement,” we recall, </w:t>
      </w:r>
      <w:hyperlink r:id="rId12" w:history="1">
        <w:r w:rsidRPr="000A551E">
          <w:rPr>
            <w:rStyle w:val="Hyperlink"/>
            <w:szCs w:val="28"/>
          </w:rPr>
          <w:t>Rule 801 (a) (2)</w:t>
        </w:r>
      </w:hyperlink>
      <w:r w:rsidRPr="000A551E">
        <w:rPr>
          <w:szCs w:val="28"/>
        </w:rPr>
        <w:t> requires “[n]onverbal conduct” to be “intended to be an assertion.</w:t>
      </w:r>
      <w:r w:rsidR="00A71C6F">
        <w:rPr>
          <w:szCs w:val="28"/>
        </w:rPr>
        <w:t>”</w:t>
      </w:r>
    </w:p>
    <w:p w14:paraId="19C2A46D" w14:textId="77777777" w:rsidR="00056C4D" w:rsidRDefault="000A551E" w:rsidP="00737D92">
      <w:pPr>
        <w:pStyle w:val="ListParaNoIndent"/>
        <w:numPr>
          <w:ilvl w:val="0"/>
          <w:numId w:val="20"/>
        </w:numPr>
        <w:spacing w:line="480" w:lineRule="auto"/>
        <w:jc w:val="both"/>
        <w:rPr>
          <w:szCs w:val="28"/>
        </w:rPr>
      </w:pPr>
      <w:r w:rsidRPr="00056C4D">
        <w:rPr>
          <w:szCs w:val="28"/>
        </w:rPr>
        <w:t>The party seeking to introduce evidence under </w:t>
      </w:r>
      <w:hyperlink r:id="rId13" w:history="1">
        <w:r w:rsidRPr="00056C4D">
          <w:rPr>
            <w:rStyle w:val="Hyperlink"/>
            <w:szCs w:val="28"/>
          </w:rPr>
          <w:t>Rule 801 (d) (2) (A)</w:t>
        </w:r>
      </w:hyperlink>
      <w:r w:rsidRPr="00056C4D">
        <w:rPr>
          <w:szCs w:val="28"/>
        </w:rPr>
        <w:t> must identify the specific nonverbal conduct of the opposing party and the fact or facts that it was allegedly intended to assert. Vaguely pointing out that the defendant “failed to come forward” after a crime will not suffice.</w:t>
      </w:r>
    </w:p>
    <w:p w14:paraId="0C5C5FD4" w14:textId="3CA825E5" w:rsidR="0055203B" w:rsidRPr="00056C4D" w:rsidRDefault="0055203B" w:rsidP="00737D92">
      <w:pPr>
        <w:pStyle w:val="ListParaNoIndent"/>
        <w:numPr>
          <w:ilvl w:val="0"/>
          <w:numId w:val="20"/>
        </w:numPr>
        <w:spacing w:line="480" w:lineRule="auto"/>
        <w:jc w:val="both"/>
        <w:rPr>
          <w:szCs w:val="28"/>
        </w:rPr>
      </w:pPr>
      <w:r w:rsidRPr="00056C4D">
        <w:rPr>
          <w:szCs w:val="28"/>
        </w:rPr>
        <w:lastRenderedPageBreak/>
        <w:t xml:space="preserve">Finally, the Court reminds us that </w:t>
      </w:r>
      <w:r w:rsidRPr="00056C4D">
        <w:rPr>
          <w:b/>
          <w:bCs/>
          <w:szCs w:val="28"/>
          <w:u w:val="single"/>
        </w:rPr>
        <w:t>Rule 403</w:t>
      </w:r>
      <w:r w:rsidRPr="00056C4D">
        <w:rPr>
          <w:szCs w:val="28"/>
        </w:rPr>
        <w:t xml:space="preserve"> is the last consideration for a Trial Court to exclude otherwise relevant and admissible evidence that is more prejudicial than probative. </w:t>
      </w:r>
    </w:p>
    <w:p w14:paraId="56A1CF8B" w14:textId="3CFF64A1" w:rsidR="0055203B" w:rsidRDefault="0055203B" w:rsidP="00737D92">
      <w:pPr>
        <w:pStyle w:val="ListParaNoIndent"/>
        <w:numPr>
          <w:ilvl w:val="1"/>
          <w:numId w:val="20"/>
        </w:numPr>
        <w:spacing w:line="480" w:lineRule="auto"/>
        <w:jc w:val="both"/>
        <w:rPr>
          <w:szCs w:val="28"/>
        </w:rPr>
      </w:pPr>
      <w:r>
        <w:rPr>
          <w:szCs w:val="28"/>
        </w:rPr>
        <w:t xml:space="preserve">The Court also reminds us that this rule is to be used only in extraordinary factual scenarios. </w:t>
      </w:r>
    </w:p>
    <w:p w14:paraId="06ED5E85" w14:textId="5B4FBE93" w:rsidR="0055203B" w:rsidRPr="0055203B" w:rsidRDefault="0055203B" w:rsidP="00F65552">
      <w:pPr>
        <w:pStyle w:val="ListParaNoIndent"/>
        <w:numPr>
          <w:ilvl w:val="0"/>
          <w:numId w:val="0"/>
        </w:numPr>
        <w:spacing w:line="480" w:lineRule="auto"/>
        <w:ind w:left="360"/>
        <w:jc w:val="center"/>
        <w:rPr>
          <w:b/>
          <w:bCs/>
          <w:szCs w:val="28"/>
          <w:u w:val="single"/>
        </w:rPr>
      </w:pPr>
      <w:r>
        <w:rPr>
          <w:b/>
          <w:bCs/>
          <w:szCs w:val="28"/>
          <w:u w:val="single"/>
        </w:rPr>
        <w:t>THE FALLOUT SINCE ORR</w:t>
      </w:r>
    </w:p>
    <w:p w14:paraId="397F68F0" w14:textId="0E797DAC" w:rsidR="0004582E" w:rsidRDefault="0004582E" w:rsidP="00737D92">
      <w:pPr>
        <w:pStyle w:val="ListParaNoIndent"/>
        <w:numPr>
          <w:ilvl w:val="0"/>
          <w:numId w:val="20"/>
        </w:numPr>
        <w:spacing w:line="480" w:lineRule="auto"/>
        <w:jc w:val="both"/>
        <w:rPr>
          <w:szCs w:val="28"/>
        </w:rPr>
      </w:pPr>
      <w:r w:rsidRPr="0004582E">
        <w:rPr>
          <w:b/>
          <w:bCs/>
          <w:i/>
          <w:iCs/>
          <w:szCs w:val="28"/>
          <w:u w:val="single"/>
        </w:rPr>
        <w:t>Venturino v. State</w:t>
      </w:r>
      <w:r w:rsidRPr="0004582E">
        <w:rPr>
          <w:szCs w:val="28"/>
        </w:rPr>
        <w:t>, 830 S.E.2d 110 (Ga. 2019)</w:t>
      </w:r>
      <w:r>
        <w:rPr>
          <w:szCs w:val="28"/>
        </w:rPr>
        <w:t xml:space="preserve">- </w:t>
      </w:r>
      <w:r w:rsidRPr="0004582E">
        <w:rPr>
          <w:b/>
          <w:bCs/>
          <w:szCs w:val="28"/>
        </w:rPr>
        <w:t>Autopsy photos</w:t>
      </w:r>
    </w:p>
    <w:p w14:paraId="5914E3EA" w14:textId="2294EB7F" w:rsidR="0004582E" w:rsidRDefault="0004582E" w:rsidP="00737D92">
      <w:pPr>
        <w:pStyle w:val="ListParaNoIndent"/>
        <w:numPr>
          <w:ilvl w:val="1"/>
          <w:numId w:val="20"/>
        </w:numPr>
        <w:spacing w:line="480" w:lineRule="auto"/>
        <w:jc w:val="both"/>
        <w:rPr>
          <w:szCs w:val="28"/>
        </w:rPr>
      </w:pPr>
      <w:r w:rsidRPr="0004582E">
        <w:rPr>
          <w:b/>
          <w:bCs/>
          <w:i/>
          <w:iCs/>
          <w:u w:val="single"/>
        </w:rPr>
        <w:t>Brown</w:t>
      </w:r>
      <w:r>
        <w:t>-</w:t>
      </w:r>
      <w:r w:rsidRPr="0004582E">
        <w:t>Old</w:t>
      </w:r>
      <w:r w:rsidRPr="0004582E">
        <w:rPr>
          <w:szCs w:val="28"/>
        </w:rPr>
        <w:t xml:space="preserve"> Rule</w:t>
      </w:r>
      <w:r w:rsidR="00F65552" w:rsidRPr="0004582E">
        <w:rPr>
          <w:szCs w:val="28"/>
        </w:rPr>
        <w:t>- “</w:t>
      </w:r>
      <w:r w:rsidRPr="0004582E">
        <w:rPr>
          <w:szCs w:val="28"/>
        </w:rPr>
        <w:t>A photograph which depicts the victim after autopsy incisions are made or after the state of the body is changed by authorities or the pathologist will not be admissible unless necessary to show some material fact which becomes apparent only because of the autopsy.”</w:t>
      </w:r>
    </w:p>
    <w:p w14:paraId="23849477" w14:textId="0B5F9147" w:rsidR="0004582E" w:rsidRDefault="0004582E" w:rsidP="00737D92">
      <w:pPr>
        <w:pStyle w:val="ListParaNoIndent"/>
        <w:numPr>
          <w:ilvl w:val="1"/>
          <w:numId w:val="20"/>
        </w:numPr>
        <w:spacing w:line="480" w:lineRule="auto"/>
        <w:jc w:val="both"/>
        <w:rPr>
          <w:szCs w:val="28"/>
        </w:rPr>
      </w:pPr>
      <w:r w:rsidRPr="0004582E">
        <w:rPr>
          <w:szCs w:val="28"/>
        </w:rPr>
        <w:t xml:space="preserve">Supreme Court held </w:t>
      </w:r>
      <w:r>
        <w:rPr>
          <w:szCs w:val="28"/>
        </w:rPr>
        <w:t xml:space="preserve">the </w:t>
      </w:r>
      <w:r w:rsidRPr="0004582E">
        <w:rPr>
          <w:b/>
          <w:bCs/>
          <w:szCs w:val="28"/>
        </w:rPr>
        <w:t>Brown</w:t>
      </w:r>
      <w:r w:rsidRPr="0004582E">
        <w:rPr>
          <w:szCs w:val="28"/>
        </w:rPr>
        <w:t xml:space="preserve"> evaluated the admissibility of autopsy photographs based on general principles of relevance and prejudice—considerations that are now specifically controlled by the new Evidence Code. </w:t>
      </w:r>
      <w:r>
        <w:rPr>
          <w:szCs w:val="28"/>
        </w:rPr>
        <w:t xml:space="preserve">Thus, that holding was abrogated by the new Evidence Code. </w:t>
      </w:r>
    </w:p>
    <w:p w14:paraId="04DFA815" w14:textId="56D81FCE" w:rsidR="00575AE7" w:rsidRPr="00575AE7" w:rsidRDefault="00575AE7" w:rsidP="00737D92">
      <w:pPr>
        <w:pStyle w:val="ListParaNoIndent"/>
        <w:numPr>
          <w:ilvl w:val="0"/>
          <w:numId w:val="20"/>
        </w:numPr>
        <w:spacing w:line="480" w:lineRule="auto"/>
        <w:jc w:val="both"/>
        <w:rPr>
          <w:szCs w:val="28"/>
        </w:rPr>
      </w:pPr>
      <w:r>
        <w:rPr>
          <w:szCs w:val="28"/>
        </w:rPr>
        <w:t xml:space="preserve">Other Pre-Arrest Silence Cases since </w:t>
      </w:r>
      <w:r>
        <w:rPr>
          <w:b/>
          <w:bCs/>
          <w:i/>
          <w:iCs/>
          <w:szCs w:val="28"/>
          <w:u w:val="single"/>
        </w:rPr>
        <w:t xml:space="preserve">Orr </w:t>
      </w:r>
      <w:r>
        <w:t xml:space="preserve">was decided. </w:t>
      </w:r>
    </w:p>
    <w:p w14:paraId="4F6F5AFC" w14:textId="60F137F3" w:rsidR="00575AE7" w:rsidRPr="00575AE7" w:rsidRDefault="00575AE7" w:rsidP="00737D92">
      <w:pPr>
        <w:pStyle w:val="ListParaNoIndent"/>
        <w:numPr>
          <w:ilvl w:val="1"/>
          <w:numId w:val="20"/>
        </w:numPr>
        <w:spacing w:line="480" w:lineRule="auto"/>
        <w:jc w:val="both"/>
        <w:rPr>
          <w:szCs w:val="28"/>
        </w:rPr>
      </w:pPr>
      <w:r w:rsidRPr="00575AE7">
        <w:rPr>
          <w:b/>
          <w:bCs/>
          <w:i/>
          <w:iCs/>
          <w:szCs w:val="28"/>
          <w:u w:val="single"/>
        </w:rPr>
        <w:t>Scott v. State</w:t>
      </w:r>
      <w:r w:rsidRPr="00575AE7">
        <w:rPr>
          <w:szCs w:val="28"/>
        </w:rPr>
        <w:t>, 831 S.E.2d 813</w:t>
      </w:r>
      <w:r>
        <w:rPr>
          <w:szCs w:val="28"/>
        </w:rPr>
        <w:t xml:space="preserve"> </w:t>
      </w:r>
      <w:r w:rsidRPr="00575AE7">
        <w:rPr>
          <w:szCs w:val="28"/>
        </w:rPr>
        <w:t>(Ga. 2019)</w:t>
      </w:r>
      <w:r>
        <w:rPr>
          <w:szCs w:val="28"/>
        </w:rPr>
        <w:t>.</w:t>
      </w:r>
    </w:p>
    <w:p w14:paraId="3C48FF6C" w14:textId="50DC3FD5" w:rsidR="00575AE7" w:rsidRPr="00575AE7" w:rsidRDefault="00575AE7" w:rsidP="00737D92">
      <w:pPr>
        <w:pStyle w:val="ListParaNoIndent"/>
        <w:numPr>
          <w:ilvl w:val="0"/>
          <w:numId w:val="0"/>
        </w:numPr>
        <w:spacing w:line="480" w:lineRule="auto"/>
        <w:ind w:left="720"/>
        <w:jc w:val="both"/>
        <w:rPr>
          <w:szCs w:val="28"/>
        </w:rPr>
      </w:pPr>
    </w:p>
    <w:p w14:paraId="6C79CAFA" w14:textId="4D701C0F" w:rsidR="00575AE7" w:rsidRPr="00575AE7" w:rsidRDefault="00575AE7" w:rsidP="00737D92">
      <w:pPr>
        <w:pStyle w:val="ListParaNoIndent"/>
        <w:numPr>
          <w:ilvl w:val="1"/>
          <w:numId w:val="20"/>
        </w:numPr>
        <w:spacing w:line="480" w:lineRule="auto"/>
        <w:jc w:val="both"/>
        <w:rPr>
          <w:szCs w:val="28"/>
        </w:rPr>
      </w:pPr>
      <w:r w:rsidRPr="00575AE7">
        <w:rPr>
          <w:b/>
          <w:bCs/>
          <w:i/>
          <w:iCs/>
          <w:szCs w:val="28"/>
          <w:u w:val="single"/>
        </w:rPr>
        <w:lastRenderedPageBreak/>
        <w:t>Walker v. State</w:t>
      </w:r>
      <w:r w:rsidRPr="00575AE7">
        <w:rPr>
          <w:szCs w:val="28"/>
        </w:rPr>
        <w:t>, 832 S.E.2d 420</w:t>
      </w:r>
      <w:r>
        <w:rPr>
          <w:szCs w:val="28"/>
        </w:rPr>
        <w:t xml:space="preserve"> </w:t>
      </w:r>
      <w:r w:rsidRPr="00575AE7">
        <w:rPr>
          <w:szCs w:val="28"/>
        </w:rPr>
        <w:t>(Ga. 2019)</w:t>
      </w:r>
      <w:r>
        <w:rPr>
          <w:szCs w:val="28"/>
        </w:rPr>
        <w:t>.</w:t>
      </w:r>
    </w:p>
    <w:p w14:paraId="4A7D4F59" w14:textId="20FC5094" w:rsidR="00575AE7" w:rsidRDefault="00575AE7" w:rsidP="00737D92">
      <w:pPr>
        <w:pStyle w:val="ListParaNoIndent"/>
        <w:numPr>
          <w:ilvl w:val="1"/>
          <w:numId w:val="20"/>
        </w:numPr>
        <w:spacing w:line="480" w:lineRule="auto"/>
        <w:jc w:val="both"/>
        <w:rPr>
          <w:szCs w:val="28"/>
        </w:rPr>
      </w:pPr>
      <w:r w:rsidRPr="00575AE7">
        <w:rPr>
          <w:b/>
          <w:bCs/>
          <w:i/>
          <w:iCs/>
          <w:szCs w:val="28"/>
          <w:u w:val="single"/>
        </w:rPr>
        <w:t>Rowland v. State</w:t>
      </w:r>
      <w:r w:rsidRPr="00575AE7">
        <w:rPr>
          <w:szCs w:val="28"/>
        </w:rPr>
        <w:t>, 306 Ga. 59 (2019)</w:t>
      </w:r>
      <w:r>
        <w:rPr>
          <w:szCs w:val="28"/>
        </w:rPr>
        <w:t>.</w:t>
      </w:r>
    </w:p>
    <w:p w14:paraId="0AABF571" w14:textId="4CD3A2A8" w:rsidR="00575AE7" w:rsidRDefault="00575AE7" w:rsidP="00737D92">
      <w:pPr>
        <w:pStyle w:val="ListParaNoIndent"/>
        <w:numPr>
          <w:ilvl w:val="1"/>
          <w:numId w:val="20"/>
        </w:numPr>
        <w:spacing w:line="480" w:lineRule="auto"/>
        <w:jc w:val="both"/>
        <w:rPr>
          <w:szCs w:val="28"/>
        </w:rPr>
      </w:pPr>
      <w:r w:rsidRPr="00575AE7">
        <w:rPr>
          <w:b/>
          <w:bCs/>
          <w:i/>
          <w:iCs/>
          <w:szCs w:val="28"/>
          <w:u w:val="single"/>
        </w:rPr>
        <w:t>Spell v. State</w:t>
      </w:r>
      <w:r w:rsidRPr="00575AE7">
        <w:rPr>
          <w:szCs w:val="28"/>
        </w:rPr>
        <w:t>, 305 Ga. 822 (2019)</w:t>
      </w:r>
      <w:r>
        <w:rPr>
          <w:szCs w:val="28"/>
        </w:rPr>
        <w:t>.</w:t>
      </w:r>
    </w:p>
    <w:p w14:paraId="6E13DDF2" w14:textId="7EBD777B" w:rsidR="00575AE7" w:rsidRDefault="00575AE7" w:rsidP="00737D92">
      <w:pPr>
        <w:pStyle w:val="ListParaNoIndent"/>
        <w:numPr>
          <w:ilvl w:val="1"/>
          <w:numId w:val="20"/>
        </w:numPr>
        <w:spacing w:line="480" w:lineRule="auto"/>
        <w:jc w:val="both"/>
        <w:rPr>
          <w:szCs w:val="28"/>
        </w:rPr>
      </w:pPr>
      <w:r w:rsidRPr="00575AE7">
        <w:rPr>
          <w:b/>
          <w:bCs/>
          <w:i/>
          <w:iCs/>
          <w:szCs w:val="28"/>
          <w:u w:val="single"/>
        </w:rPr>
        <w:t>Williams v. State</w:t>
      </w:r>
      <w:r w:rsidRPr="00575AE7">
        <w:rPr>
          <w:szCs w:val="28"/>
        </w:rPr>
        <w:t>, 305 Ga. 776</w:t>
      </w:r>
      <w:r>
        <w:rPr>
          <w:szCs w:val="28"/>
        </w:rPr>
        <w:t xml:space="preserve"> </w:t>
      </w:r>
      <w:r w:rsidRPr="00575AE7">
        <w:rPr>
          <w:szCs w:val="28"/>
        </w:rPr>
        <w:t>(2019)</w:t>
      </w:r>
      <w:r>
        <w:rPr>
          <w:szCs w:val="28"/>
        </w:rPr>
        <w:t>.</w:t>
      </w:r>
    </w:p>
    <w:p w14:paraId="459DADC8" w14:textId="04C38625" w:rsidR="00575AE7" w:rsidRPr="0004582E" w:rsidRDefault="00575AE7" w:rsidP="00737D92">
      <w:pPr>
        <w:pStyle w:val="ListParaNoIndent"/>
        <w:numPr>
          <w:ilvl w:val="1"/>
          <w:numId w:val="20"/>
        </w:numPr>
        <w:spacing w:line="480" w:lineRule="auto"/>
        <w:jc w:val="both"/>
        <w:rPr>
          <w:szCs w:val="28"/>
        </w:rPr>
      </w:pPr>
      <w:r w:rsidRPr="004C3BF0">
        <w:rPr>
          <w:b/>
          <w:bCs/>
          <w:i/>
          <w:iCs/>
          <w:szCs w:val="28"/>
          <w:u w:val="single"/>
        </w:rPr>
        <w:t>Gonzalez v. State</w:t>
      </w:r>
      <w:r w:rsidRPr="00575AE7">
        <w:rPr>
          <w:szCs w:val="28"/>
        </w:rPr>
        <w:t>, A19A1452, 2019 WL 4686634</w:t>
      </w:r>
      <w:r w:rsidR="00D9723F">
        <w:rPr>
          <w:szCs w:val="28"/>
        </w:rPr>
        <w:t xml:space="preserve"> </w:t>
      </w:r>
      <w:r w:rsidRPr="00575AE7">
        <w:rPr>
          <w:szCs w:val="28"/>
        </w:rPr>
        <w:t>(Ga. Ct. App. Sept. 25, 2019)</w:t>
      </w:r>
    </w:p>
    <w:p w14:paraId="3DCBB995" w14:textId="51536568" w:rsidR="00550418" w:rsidRDefault="00951642" w:rsidP="00737D92">
      <w:pPr>
        <w:pStyle w:val="ListParaNoIndent"/>
        <w:numPr>
          <w:ilvl w:val="0"/>
          <w:numId w:val="0"/>
        </w:numPr>
        <w:spacing w:line="480" w:lineRule="auto"/>
        <w:jc w:val="both"/>
        <w:rPr>
          <w:szCs w:val="28"/>
        </w:rPr>
      </w:pPr>
      <w:r>
        <w:rPr>
          <w:szCs w:val="28"/>
        </w:rPr>
        <w:pict w14:anchorId="40CF486A">
          <v:rect id="_x0000_i1027" style="width:0;height:1.5pt" o:hralign="center" o:bullet="t" o:hrstd="t" o:hr="t" fillcolor="#a0a0a0" stroked="f"/>
        </w:pict>
      </w:r>
    </w:p>
    <w:p w14:paraId="13F5C3BA" w14:textId="5E785B11" w:rsidR="00850E92" w:rsidRPr="00D9723F" w:rsidRDefault="001B246C" w:rsidP="00F65552">
      <w:pPr>
        <w:pStyle w:val="ListParaNoIndent"/>
        <w:numPr>
          <w:ilvl w:val="0"/>
          <w:numId w:val="0"/>
        </w:numPr>
        <w:spacing w:line="480" w:lineRule="auto"/>
        <w:jc w:val="center"/>
        <w:rPr>
          <w:b/>
          <w:bCs/>
          <w:u w:val="single"/>
        </w:rPr>
      </w:pPr>
      <w:r>
        <w:rPr>
          <w:b/>
          <w:bCs/>
          <w:u w:val="single"/>
        </w:rPr>
        <w:t>CONCLUSION</w:t>
      </w:r>
    </w:p>
    <w:p w14:paraId="53DBEE78" w14:textId="57E2E7C3" w:rsidR="00ED5C79" w:rsidRPr="00ED5C79" w:rsidRDefault="00EA130D" w:rsidP="00737D92">
      <w:pPr>
        <w:pStyle w:val="ListParaNoIndent"/>
        <w:numPr>
          <w:ilvl w:val="0"/>
          <w:numId w:val="20"/>
        </w:numPr>
        <w:spacing w:line="480" w:lineRule="auto"/>
        <w:jc w:val="both"/>
        <w:rPr>
          <w:szCs w:val="28"/>
          <w:u w:val="single"/>
        </w:rPr>
      </w:pPr>
      <w:r>
        <w:rPr>
          <w:szCs w:val="28"/>
        </w:rPr>
        <w:t>S</w:t>
      </w:r>
      <w:r w:rsidR="00D9723F">
        <w:rPr>
          <w:szCs w:val="28"/>
        </w:rPr>
        <w:t>o, where does that leave the Trial Court regarding pre-arrest silence?</w:t>
      </w:r>
    </w:p>
    <w:p w14:paraId="5A4E6179" w14:textId="669DFC0E" w:rsidR="00D9723F" w:rsidRPr="00D9723F" w:rsidRDefault="00D9723F" w:rsidP="00737D92">
      <w:pPr>
        <w:pStyle w:val="ListParaNoIndent"/>
        <w:numPr>
          <w:ilvl w:val="1"/>
          <w:numId w:val="20"/>
        </w:numPr>
        <w:spacing w:line="480" w:lineRule="auto"/>
        <w:jc w:val="both"/>
        <w:rPr>
          <w:szCs w:val="28"/>
          <w:u w:val="single"/>
        </w:rPr>
      </w:pPr>
      <w:r>
        <w:rPr>
          <w:szCs w:val="28"/>
        </w:rPr>
        <w:t xml:space="preserve">The Trial Court should treat pre-arrest silence like any other </w:t>
      </w:r>
      <w:r w:rsidR="001B246C">
        <w:rPr>
          <w:szCs w:val="28"/>
        </w:rPr>
        <w:t xml:space="preserve">statement </w:t>
      </w:r>
      <w:r>
        <w:rPr>
          <w:szCs w:val="28"/>
        </w:rPr>
        <w:t>evidence and sho</w:t>
      </w:r>
      <w:r w:rsidR="00F65552">
        <w:rPr>
          <w:szCs w:val="28"/>
        </w:rPr>
        <w:t>uld</w:t>
      </w:r>
      <w:r>
        <w:rPr>
          <w:szCs w:val="28"/>
        </w:rPr>
        <w:t xml:space="preserve"> go through the normal </w:t>
      </w:r>
      <w:r w:rsidR="00F65552">
        <w:rPr>
          <w:szCs w:val="28"/>
        </w:rPr>
        <w:t xml:space="preserve">evidentiary </w:t>
      </w:r>
      <w:r>
        <w:rPr>
          <w:szCs w:val="28"/>
        </w:rPr>
        <w:t>progression in determining admissibility.</w:t>
      </w:r>
    </w:p>
    <w:p w14:paraId="05D05A88" w14:textId="77777777" w:rsidR="004C3BF0" w:rsidRPr="004C3BF0" w:rsidRDefault="001B246C" w:rsidP="00737D92">
      <w:pPr>
        <w:pStyle w:val="ListParaNoIndent"/>
        <w:numPr>
          <w:ilvl w:val="2"/>
          <w:numId w:val="20"/>
        </w:numPr>
        <w:spacing w:line="480" w:lineRule="auto"/>
        <w:jc w:val="both"/>
        <w:rPr>
          <w:szCs w:val="28"/>
          <w:u w:val="single"/>
        </w:rPr>
      </w:pPr>
      <w:r>
        <w:rPr>
          <w:szCs w:val="28"/>
        </w:rPr>
        <w:t xml:space="preserve">Rule 401, </w:t>
      </w:r>
    </w:p>
    <w:p w14:paraId="6898393F" w14:textId="77777777" w:rsidR="004C3BF0" w:rsidRPr="004C3BF0" w:rsidRDefault="001B246C" w:rsidP="00737D92">
      <w:pPr>
        <w:pStyle w:val="ListParaNoIndent"/>
        <w:numPr>
          <w:ilvl w:val="2"/>
          <w:numId w:val="20"/>
        </w:numPr>
        <w:spacing w:line="480" w:lineRule="auto"/>
        <w:jc w:val="both"/>
        <w:rPr>
          <w:szCs w:val="28"/>
          <w:u w:val="single"/>
        </w:rPr>
      </w:pPr>
      <w:r>
        <w:rPr>
          <w:szCs w:val="28"/>
        </w:rPr>
        <w:t xml:space="preserve">then specific hearsay rules, </w:t>
      </w:r>
    </w:p>
    <w:p w14:paraId="4D5D6DE5" w14:textId="252DC982" w:rsidR="00D9723F" w:rsidRPr="00D9723F" w:rsidRDefault="001B246C" w:rsidP="00737D92">
      <w:pPr>
        <w:pStyle w:val="ListParaNoIndent"/>
        <w:numPr>
          <w:ilvl w:val="2"/>
          <w:numId w:val="20"/>
        </w:numPr>
        <w:spacing w:line="480" w:lineRule="auto"/>
        <w:jc w:val="both"/>
        <w:rPr>
          <w:szCs w:val="28"/>
          <w:u w:val="single"/>
        </w:rPr>
      </w:pPr>
      <w:r>
        <w:rPr>
          <w:szCs w:val="28"/>
        </w:rPr>
        <w:t xml:space="preserve">then Rule 403. </w:t>
      </w:r>
    </w:p>
    <w:p w14:paraId="321DF808" w14:textId="4E6A2D08" w:rsidR="003A1BF4" w:rsidRPr="00D9723F" w:rsidRDefault="00D9723F" w:rsidP="00737D92">
      <w:pPr>
        <w:pStyle w:val="ListParaNoIndent"/>
        <w:numPr>
          <w:ilvl w:val="1"/>
          <w:numId w:val="20"/>
        </w:numPr>
        <w:spacing w:line="480" w:lineRule="auto"/>
        <w:jc w:val="both"/>
        <w:rPr>
          <w:szCs w:val="28"/>
          <w:u w:val="single"/>
        </w:rPr>
      </w:pPr>
      <w:r>
        <w:rPr>
          <w:szCs w:val="28"/>
        </w:rPr>
        <w:t xml:space="preserve">The Court should consider the evidence through the lens of an admission by the Defendant, whether the silence is an adoptive admission or a nonverbal statement. </w:t>
      </w:r>
    </w:p>
    <w:p w14:paraId="51358CE2" w14:textId="7429C6F3" w:rsidR="00D9723F" w:rsidRPr="003A1BF4" w:rsidRDefault="00D9723F" w:rsidP="00737D92">
      <w:pPr>
        <w:pStyle w:val="ListParaNoIndent"/>
        <w:numPr>
          <w:ilvl w:val="1"/>
          <w:numId w:val="20"/>
        </w:numPr>
        <w:spacing w:line="480" w:lineRule="auto"/>
        <w:jc w:val="both"/>
        <w:rPr>
          <w:szCs w:val="28"/>
          <w:u w:val="single"/>
        </w:rPr>
      </w:pPr>
      <w:r>
        <w:rPr>
          <w:szCs w:val="28"/>
        </w:rPr>
        <w:lastRenderedPageBreak/>
        <w:t xml:space="preserve">If the Court finds that the pre-arrest silence falls squarely within a Hearsay exclusion, i.e. an adoptive admission or nonverbal statement, the Court must then conduct a </w:t>
      </w:r>
      <w:r w:rsidR="001B246C">
        <w:rPr>
          <w:szCs w:val="28"/>
        </w:rPr>
        <w:t>403-balancing</w:t>
      </w:r>
      <w:r>
        <w:rPr>
          <w:szCs w:val="28"/>
        </w:rPr>
        <w:t xml:space="preserve"> test. </w:t>
      </w:r>
    </w:p>
    <w:p w14:paraId="004A1626" w14:textId="46B53867" w:rsidR="004E6F9A" w:rsidRPr="004E6F9A" w:rsidRDefault="00951642" w:rsidP="00737D92">
      <w:pPr>
        <w:pStyle w:val="ListParaNoIndent"/>
        <w:numPr>
          <w:ilvl w:val="0"/>
          <w:numId w:val="0"/>
        </w:numPr>
        <w:spacing w:line="480" w:lineRule="auto"/>
        <w:jc w:val="both"/>
        <w:rPr>
          <w:b/>
          <w:szCs w:val="28"/>
          <w:u w:val="single"/>
        </w:rPr>
      </w:pPr>
      <w:r>
        <w:rPr>
          <w:szCs w:val="28"/>
        </w:rPr>
        <w:pict w14:anchorId="01DAECA5">
          <v:rect id="_x0000_i1028" style="width:0;height:1.5pt" o:hralign="center" o:hrstd="t" o:hr="t" fillcolor="#a0a0a0" stroked="f"/>
        </w:pict>
      </w:r>
    </w:p>
    <w:p w14:paraId="4C920013" w14:textId="77777777" w:rsidR="006E4C53" w:rsidRDefault="006E4C53" w:rsidP="00737D92">
      <w:pPr>
        <w:pStyle w:val="ListParaNoIndent"/>
        <w:numPr>
          <w:ilvl w:val="0"/>
          <w:numId w:val="0"/>
        </w:numPr>
        <w:spacing w:line="480" w:lineRule="auto"/>
        <w:jc w:val="both"/>
        <w:rPr>
          <w:szCs w:val="28"/>
        </w:rPr>
      </w:pPr>
    </w:p>
    <w:p w14:paraId="44E5D125" w14:textId="4B0D1D4C" w:rsidR="00C276B9" w:rsidRPr="00906E00" w:rsidRDefault="00C276B9" w:rsidP="00737D92">
      <w:pPr>
        <w:pStyle w:val="ListParaNoIndent"/>
        <w:numPr>
          <w:ilvl w:val="0"/>
          <w:numId w:val="0"/>
        </w:numPr>
        <w:spacing w:line="480" w:lineRule="auto"/>
        <w:ind w:left="1170" w:hanging="360"/>
        <w:jc w:val="both"/>
        <w:rPr>
          <w:szCs w:val="28"/>
        </w:rPr>
      </w:pPr>
      <w:bookmarkStart w:id="0" w:name="_GoBack"/>
      <w:bookmarkEnd w:id="0"/>
    </w:p>
    <w:p w14:paraId="7F35FD20" w14:textId="0930071A" w:rsidR="005637AD" w:rsidRPr="00906E00" w:rsidRDefault="005637AD" w:rsidP="00737D92">
      <w:pPr>
        <w:jc w:val="both"/>
        <w:rPr>
          <w:sz w:val="28"/>
          <w:szCs w:val="28"/>
        </w:rPr>
      </w:pPr>
    </w:p>
    <w:sectPr w:rsidR="005637AD" w:rsidRPr="00906E00">
      <w:footerReference w:type="defaul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7B540" w14:textId="77777777" w:rsidR="00951642" w:rsidRDefault="00951642" w:rsidP="00E57DDA">
      <w:pPr>
        <w:spacing w:after="0" w:line="240" w:lineRule="auto"/>
      </w:pPr>
      <w:r>
        <w:separator/>
      </w:r>
    </w:p>
  </w:endnote>
  <w:endnote w:type="continuationSeparator" w:id="0">
    <w:p w14:paraId="2AEC6289" w14:textId="77777777" w:rsidR="00951642" w:rsidRDefault="00951642" w:rsidP="00E5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C22C" w14:textId="77777777" w:rsidR="00E57DDA" w:rsidRDefault="00E57DDA" w:rsidP="00E83481">
    <w:pPr>
      <w:pStyle w:val="Footer"/>
      <w:rPr>
        <w:b w:val="0"/>
        <w:szCs w:val="20"/>
      </w:rPr>
    </w:pPr>
  </w:p>
  <w:p w14:paraId="71630C7D" w14:textId="7D581DAA" w:rsidR="00E57DDA" w:rsidRDefault="00850E92" w:rsidP="00E83481">
    <w:pPr>
      <w:pStyle w:val="Footer"/>
      <w:rPr>
        <w:szCs w:val="20"/>
      </w:rPr>
    </w:pPr>
    <w:r>
      <w:rPr>
        <w:szCs w:val="20"/>
      </w:rPr>
      <w:t>NOTES</w:t>
    </w:r>
    <w:r w:rsidR="00E57DDA">
      <w:rPr>
        <w:szCs w:val="20"/>
      </w:rPr>
      <w:t xml:space="preserve"> FOR </w:t>
    </w:r>
    <w:r w:rsidR="004627C4">
      <w:rPr>
        <w:szCs w:val="20"/>
      </w:rPr>
      <w:t>EVIDENCE ESSENTIALS-</w:t>
    </w:r>
    <w:r w:rsidR="00C82006">
      <w:rPr>
        <w:szCs w:val="20"/>
      </w:rPr>
      <w:t>PRE-ARREST SILENCE</w:t>
    </w:r>
  </w:p>
  <w:p w14:paraId="7FE31702" w14:textId="6E5654FE" w:rsidR="00E57DDA" w:rsidRDefault="00C82006" w:rsidP="00E83481">
    <w:pPr>
      <w:pStyle w:val="Footer"/>
      <w:rPr>
        <w:b w:val="0"/>
        <w:szCs w:val="20"/>
      </w:rPr>
    </w:pPr>
    <w:r>
      <w:rPr>
        <w:szCs w:val="20"/>
      </w:rPr>
      <w:t>11</w:t>
    </w:r>
    <w:r w:rsidR="00EA130D">
      <w:rPr>
        <w:szCs w:val="20"/>
      </w:rPr>
      <w:t>/</w:t>
    </w:r>
    <w:r>
      <w:rPr>
        <w:szCs w:val="20"/>
      </w:rPr>
      <w:t>2</w:t>
    </w:r>
    <w:r w:rsidR="00E57DDA">
      <w:rPr>
        <w:szCs w:val="20"/>
      </w:rPr>
      <w:t>/2019</w:t>
    </w:r>
  </w:p>
  <w:p w14:paraId="45F6B4D1" w14:textId="2C43703B" w:rsidR="00E57DDA" w:rsidRDefault="00E57DDA" w:rsidP="00E83481">
    <w:pPr>
      <w:pStyle w:val="Footer"/>
    </w:pPr>
    <w:r>
      <w:rPr>
        <w:szCs w:val="20"/>
      </w:rPr>
      <w:t xml:space="preserve">PAGE </w:t>
    </w:r>
    <w:r>
      <w:rPr>
        <w:b w:val="0"/>
        <w:szCs w:val="20"/>
      </w:rPr>
      <w:fldChar w:fldCharType="begin"/>
    </w:r>
    <w:r>
      <w:rPr>
        <w:szCs w:val="20"/>
      </w:rPr>
      <w:instrText xml:space="preserve"> PAGE  \* Arabic  \* MERGEFORMAT </w:instrText>
    </w:r>
    <w:r>
      <w:rPr>
        <w:b w:val="0"/>
        <w:szCs w:val="20"/>
      </w:rPr>
      <w:fldChar w:fldCharType="separate"/>
    </w:r>
    <w:r w:rsidR="00B93E22">
      <w:rPr>
        <w:noProof/>
        <w:szCs w:val="20"/>
      </w:rPr>
      <w:t>3</w:t>
    </w:r>
    <w:r>
      <w:rPr>
        <w:b w:val="0"/>
        <w:szCs w:val="20"/>
      </w:rPr>
      <w:fldChar w:fldCharType="end"/>
    </w:r>
    <w:r>
      <w:rPr>
        <w:szCs w:val="20"/>
      </w:rPr>
      <w:t xml:space="preserve"> OF </w:t>
    </w:r>
    <w:r>
      <w:rPr>
        <w:b w:val="0"/>
        <w:szCs w:val="20"/>
      </w:rPr>
      <w:fldChar w:fldCharType="begin"/>
    </w:r>
    <w:r>
      <w:rPr>
        <w:szCs w:val="20"/>
      </w:rPr>
      <w:instrText xml:space="preserve"> NUMPAGES  \* Arabic  \* MERGEFORMAT </w:instrText>
    </w:r>
    <w:r>
      <w:rPr>
        <w:b w:val="0"/>
        <w:szCs w:val="20"/>
      </w:rPr>
      <w:fldChar w:fldCharType="separate"/>
    </w:r>
    <w:r w:rsidR="00B93E22">
      <w:rPr>
        <w:noProof/>
        <w:szCs w:val="20"/>
      </w:rPr>
      <w:t>11</w:t>
    </w:r>
    <w:r>
      <w:rPr>
        <w:b w:val="0"/>
        <w:szCs w:val="20"/>
      </w:rPr>
      <w:fldChar w:fldCharType="end"/>
    </w:r>
  </w:p>
  <w:p w14:paraId="248390F7" w14:textId="77777777" w:rsidR="00E57DDA" w:rsidRDefault="00E57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04F72" w14:textId="77777777" w:rsidR="00951642" w:rsidRDefault="00951642" w:rsidP="00E57DDA">
      <w:pPr>
        <w:spacing w:after="0" w:line="240" w:lineRule="auto"/>
      </w:pPr>
      <w:r>
        <w:separator/>
      </w:r>
    </w:p>
  </w:footnote>
  <w:footnote w:type="continuationSeparator" w:id="0">
    <w:p w14:paraId="295AE273" w14:textId="77777777" w:rsidR="00951642" w:rsidRDefault="00951642" w:rsidP="00E5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8" style="width:0;height:1.5pt" o:hralign="center" o:bullet="t" o:hrstd="t" o:hr="t" fillcolor="#a0a0a0" stroked="f"/>
    </w:pict>
  </w:numPicBullet>
  <w:abstractNum w:abstractNumId="0" w15:restartNumberingAfterBreak="0">
    <w:nsid w:val="002B2355"/>
    <w:multiLevelType w:val="multilevel"/>
    <w:tmpl w:val="C75A3C70"/>
    <w:styleLink w:val="JordiesClass"/>
    <w:lvl w:ilvl="0">
      <w:start w:val="1"/>
      <w:numFmt w:val="decimal"/>
      <w:lvlText w:val="%1)"/>
      <w:lvlJc w:val="left"/>
      <w:pPr>
        <w:tabs>
          <w:tab w:val="num" w:pos="144"/>
        </w:tabs>
        <w:ind w:left="0" w:firstLine="0"/>
      </w:pPr>
      <w:rPr>
        <w:rFonts w:ascii="Times New Roman" w:hAnsi="Times New Roman"/>
        <w:color w:val="auto"/>
        <w:sz w:val="28"/>
      </w:rPr>
    </w:lvl>
    <w:lvl w:ilvl="1">
      <w:start w:val="1"/>
      <w:numFmt w:val="lowerLetter"/>
      <w:lvlText w:val="%2)"/>
      <w:lvlJc w:val="left"/>
      <w:pPr>
        <w:tabs>
          <w:tab w:val="num" w:pos="360"/>
        </w:tabs>
        <w:ind w:left="360" w:firstLine="0"/>
      </w:pPr>
      <w:rPr>
        <w:rFonts w:hint="default"/>
      </w:rPr>
    </w:lvl>
    <w:lvl w:ilvl="2">
      <w:start w:val="1"/>
      <w:numFmt w:val="lowerRoman"/>
      <w:lvlText w:val="%3)"/>
      <w:lvlJc w:val="left"/>
      <w:pPr>
        <w:tabs>
          <w:tab w:val="num" w:pos="720"/>
        </w:tabs>
        <w:ind w:left="72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440"/>
        </w:tabs>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D80C39"/>
    <w:multiLevelType w:val="hybridMultilevel"/>
    <w:tmpl w:val="A3F45006"/>
    <w:lvl w:ilvl="0" w:tplc="FFC60594">
      <w:start w:val="1"/>
      <w:numFmt w:val="decimal"/>
      <w:pStyle w:val="ListParaNoIndent"/>
      <w:lvlText w:val="%1)"/>
      <w:lvlJc w:val="left"/>
      <w:pPr>
        <w:ind w:left="117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B19EF"/>
    <w:multiLevelType w:val="multilevel"/>
    <w:tmpl w:val="30E0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6E7F74"/>
    <w:multiLevelType w:val="multilevel"/>
    <w:tmpl w:val="F0A80EEE"/>
    <w:styleLink w:val="BigPaper"/>
    <w:lvl w:ilvl="0">
      <w:start w:val="1"/>
      <w:numFmt w:val="decimal"/>
      <w:lvlText w:val="%1.0"/>
      <w:lvlJc w:val="left"/>
      <w:pPr>
        <w:ind w:left="360" w:hanging="360"/>
      </w:pPr>
      <w:rPr>
        <w:rFonts w:ascii="Times New Roman" w:hAnsi="Times New Roman" w:hint="default"/>
        <w:b/>
        <w:bCs/>
        <w:i w:val="0"/>
        <w:iCs w:val="0"/>
        <w:caps/>
        <w:smallCaps w:val="0"/>
        <w:strike w:val="0"/>
        <w:dstrike w:val="0"/>
        <w:outline w:val="0"/>
        <w:shadow w:val="0"/>
        <w:emboss w:val="0"/>
        <w:imprint w:val="0"/>
        <w:vanish w:val="0"/>
        <w:color w:val="auto"/>
        <w:spacing w:val="0"/>
        <w:kern w:val="0"/>
        <w:position w:val="0"/>
        <w:sz w:val="28"/>
        <w:effect w:val="none"/>
        <w:vertAlign w:val="baseline"/>
        <w:em w:val="none"/>
        <w14:ligatures w14:val="none"/>
        <w14:numForm w14:val="default"/>
        <w14:numSpacing w14:val="default"/>
        <w14:stylisticSets/>
        <w14:cntxtAlts w14:val="0"/>
      </w:rPr>
    </w:lvl>
    <w:lvl w:ilvl="1">
      <w:start w:val="1"/>
      <w:numFmt w:val="decimal"/>
      <w:isLgl/>
      <w:suff w:val="space"/>
      <w:lvlText w:val="%2.1"/>
      <w:lvlJc w:val="left"/>
      <w:pPr>
        <w:ind w:left="1080" w:firstLine="0"/>
      </w:pPr>
      <w:rPr>
        <w:rFonts w:ascii="Times New Roman" w:hAnsi="Times New Roman" w:hint="default"/>
        <w:b/>
        <w:i w:val="0"/>
        <w:caps/>
        <w:strike w:val="0"/>
        <w:dstrike w:val="0"/>
        <w:vanish w:val="0"/>
        <w:color w:val="auto"/>
        <w:sz w:val="24"/>
        <w:vertAlign w:val="baseline"/>
      </w:rPr>
    </w:lvl>
    <w:lvl w:ilvl="2">
      <w:start w:val="1"/>
      <w:numFmt w:val="decimal"/>
      <w:isLgl/>
      <w:suff w:val="space"/>
      <w:lvlText w:val="%3.1.1"/>
      <w:lvlJc w:val="left"/>
      <w:pPr>
        <w:ind w:left="0" w:firstLine="0"/>
      </w:pPr>
      <w:rPr>
        <w:rFonts w:ascii="Times New Roman" w:hAnsi="Times New Roman" w:hint="default"/>
        <w:b/>
        <w:i w:val="0"/>
        <w:caps/>
        <w:strike w:val="0"/>
        <w:dstrike w:val="0"/>
        <w:vanish w:val="0"/>
        <w:color w:val="auto"/>
        <w:sz w:val="24"/>
        <w:vertAlign w:val="baseline"/>
      </w:rPr>
    </w:lvl>
    <w:lvl w:ilvl="3">
      <w:start w:val="1"/>
      <w:numFmt w:val="decimal"/>
      <w:lvlText w:val="(%4)"/>
      <w:lvlJc w:val="left"/>
      <w:pPr>
        <w:tabs>
          <w:tab w:val="num" w:pos="576"/>
        </w:tabs>
        <w:ind w:left="0" w:firstLine="0"/>
      </w:pPr>
      <w:rPr>
        <w:rFonts w:hint="default"/>
      </w:rPr>
    </w:lvl>
    <w:lvl w:ilvl="4">
      <w:start w:val="1"/>
      <w:numFmt w:val="lowerLetter"/>
      <w:lvlText w:val="(%5)"/>
      <w:lvlJc w:val="left"/>
      <w:pPr>
        <w:tabs>
          <w:tab w:val="num" w:pos="576"/>
        </w:tabs>
        <w:ind w:left="0" w:firstLine="0"/>
      </w:pPr>
      <w:rPr>
        <w:rFonts w:hint="default"/>
      </w:rPr>
    </w:lvl>
    <w:lvl w:ilvl="5">
      <w:start w:val="1"/>
      <w:numFmt w:val="lowerRoman"/>
      <w:lvlText w:val="(%6)"/>
      <w:lvlJc w:val="left"/>
      <w:pPr>
        <w:tabs>
          <w:tab w:val="num" w:pos="576"/>
        </w:tabs>
        <w:ind w:left="0" w:firstLine="0"/>
      </w:pPr>
      <w:rPr>
        <w:rFonts w:hint="default"/>
      </w:rPr>
    </w:lvl>
    <w:lvl w:ilvl="6">
      <w:start w:val="1"/>
      <w:numFmt w:val="decimal"/>
      <w:lvlText w:val="%7."/>
      <w:lvlJc w:val="left"/>
      <w:pPr>
        <w:tabs>
          <w:tab w:val="num" w:pos="576"/>
        </w:tabs>
        <w:ind w:left="0" w:firstLine="0"/>
      </w:pPr>
      <w:rPr>
        <w:rFonts w:hint="default"/>
      </w:rPr>
    </w:lvl>
    <w:lvl w:ilvl="7">
      <w:start w:val="1"/>
      <w:numFmt w:val="lowerLetter"/>
      <w:lvlText w:val="%8."/>
      <w:lvlJc w:val="left"/>
      <w:pPr>
        <w:tabs>
          <w:tab w:val="num" w:pos="576"/>
        </w:tabs>
        <w:ind w:left="0" w:firstLine="0"/>
      </w:pPr>
      <w:rPr>
        <w:rFonts w:hint="default"/>
      </w:rPr>
    </w:lvl>
    <w:lvl w:ilvl="8">
      <w:start w:val="1"/>
      <w:numFmt w:val="lowerRoman"/>
      <w:lvlText w:val="%9."/>
      <w:lvlJc w:val="left"/>
      <w:pPr>
        <w:tabs>
          <w:tab w:val="num" w:pos="576"/>
        </w:tabs>
        <w:ind w:left="0" w:firstLine="0"/>
      </w:pPr>
      <w:rPr>
        <w:rFonts w:hint="default"/>
      </w:rPr>
    </w:lvl>
  </w:abstractNum>
  <w:abstractNum w:abstractNumId="4" w15:restartNumberingAfterBreak="0">
    <w:nsid w:val="09F352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BD3FAA"/>
    <w:multiLevelType w:val="multilevel"/>
    <w:tmpl w:val="FA5067AE"/>
    <w:styleLink w:val="Style2"/>
    <w:lvl w:ilvl="0">
      <w:start w:val="1"/>
      <w:numFmt w:val="decimal"/>
      <w:isLgl/>
      <w:suff w:val="space"/>
      <w:lvlText w:val="%1"/>
      <w:lvlJc w:val="left"/>
      <w:pPr>
        <w:ind w:left="360" w:hanging="360"/>
      </w:pPr>
      <w:rPr>
        <w:rFonts w:asciiTheme="majorHAnsi" w:hAnsiTheme="majorHAnsi" w:hint="default"/>
        <w:b/>
        <w:i w:val="0"/>
        <w:color w:val="auto"/>
        <w:sz w:val="28"/>
      </w:rPr>
    </w:lvl>
    <w:lvl w:ilvl="1">
      <w:start w:val="1"/>
      <w:numFmt w:val="decimal"/>
      <w:isLgl/>
      <w:suff w:val="space"/>
      <w:lvlText w:val="%1.%2"/>
      <w:lvlJc w:val="left"/>
      <w:pPr>
        <w:ind w:left="720" w:hanging="360"/>
      </w:pPr>
      <w:rPr>
        <w:rFonts w:hint="default"/>
        <w:b/>
        <w:i w:val="0"/>
        <w:color w:val="auto"/>
        <w:sz w:val="24"/>
      </w:rPr>
    </w:lvl>
    <w:lvl w:ilvl="2">
      <w:start w:val="1"/>
      <w:numFmt w:val="decimal"/>
      <w:isLgl/>
      <w:suff w:val="space"/>
      <w:lvlText w:val="%1.%2.%3"/>
      <w:lvlJc w:val="left"/>
      <w:pPr>
        <w:ind w:left="1080" w:hanging="360"/>
      </w:pPr>
      <w:rPr>
        <w:rFonts w:hint="default"/>
        <w:b/>
        <w:i w:val="0"/>
        <w:color w:val="auto"/>
        <w:sz w:val="24"/>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6" w15:restartNumberingAfterBreak="0">
    <w:nsid w:val="32342E9C"/>
    <w:multiLevelType w:val="hybridMultilevel"/>
    <w:tmpl w:val="6F08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F3A9C"/>
    <w:multiLevelType w:val="multilevel"/>
    <w:tmpl w:val="A8206314"/>
    <w:lvl w:ilvl="0">
      <w:start w:val="1"/>
      <w:numFmt w:val="decimal"/>
      <w:pStyle w:val="Heading1"/>
      <w:isLgl/>
      <w:lvlText w:val="%1"/>
      <w:lvlJc w:val="left"/>
      <w:pPr>
        <w:tabs>
          <w:tab w:val="num" w:pos="360"/>
        </w:tabs>
        <w:ind w:left="0" w:firstLine="0"/>
      </w:pPr>
      <w:rPr>
        <w:rFonts w:asciiTheme="majorHAnsi" w:hAnsiTheme="majorHAnsi" w:hint="default"/>
        <w:b/>
        <w:i w:val="0"/>
        <w:color w:val="auto"/>
        <w:sz w:val="28"/>
      </w:rPr>
    </w:lvl>
    <w:lvl w:ilvl="1">
      <w:start w:val="1"/>
      <w:numFmt w:val="decimal"/>
      <w:pStyle w:val="Heading2"/>
      <w:isLgl/>
      <w:lvlText w:val="%1.%2"/>
      <w:lvlJc w:val="left"/>
      <w:pPr>
        <w:tabs>
          <w:tab w:val="num" w:pos="360"/>
        </w:tabs>
        <w:ind w:left="0" w:firstLine="0"/>
      </w:pPr>
      <w:rPr>
        <w:rFonts w:hint="default"/>
        <w:b/>
        <w:i w:val="0"/>
        <w:color w:val="auto"/>
        <w:sz w:val="24"/>
      </w:rPr>
    </w:lvl>
    <w:lvl w:ilvl="2">
      <w:start w:val="1"/>
      <w:numFmt w:val="decimal"/>
      <w:lvlText w:val="%1.%2.%3"/>
      <w:lvlJc w:val="left"/>
      <w:pPr>
        <w:tabs>
          <w:tab w:val="num" w:pos="360"/>
        </w:tabs>
        <w:ind w:left="0" w:firstLine="0"/>
      </w:pPr>
      <w:rPr>
        <w:rFonts w:hint="default"/>
        <w:b/>
        <w:i w:val="0"/>
        <w:color w:val="auto"/>
        <w:sz w:val="24"/>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8" w15:restartNumberingAfterBreak="0">
    <w:nsid w:val="4D9350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1336328"/>
    <w:multiLevelType w:val="hybridMultilevel"/>
    <w:tmpl w:val="A37C715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57FD56DF"/>
    <w:multiLevelType w:val="hybridMultilevel"/>
    <w:tmpl w:val="018A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A1CAD"/>
    <w:multiLevelType w:val="multilevel"/>
    <w:tmpl w:val="58B6A87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440" w:hanging="360"/>
      </w:pPr>
    </w:lvl>
    <w:lvl w:ilvl="3">
      <w:start w:val="1"/>
      <w:numFmt w:val="decimal"/>
      <w:lvlText w:val="(%4)"/>
      <w:lvlJc w:val="left"/>
      <w:pPr>
        <w:ind w:left="171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D774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92B2F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5"/>
  </w:num>
  <w:num w:numId="5">
    <w:abstractNumId w:val="7"/>
  </w:num>
  <w:num w:numId="6">
    <w:abstractNumId w:val="7"/>
  </w:num>
  <w:num w:numId="7">
    <w:abstractNumId w:val="7"/>
  </w:num>
  <w:num w:numId="8">
    <w:abstractNumId w:val="7"/>
  </w:num>
  <w:num w:numId="9">
    <w:abstractNumId w:val="0"/>
  </w:num>
  <w:num w:numId="10">
    <w:abstractNumId w:val="1"/>
  </w:num>
  <w:num w:numId="11">
    <w:abstractNumId w:val="3"/>
  </w:num>
  <w:num w:numId="12">
    <w:abstractNumId w:val="5"/>
  </w:num>
  <w:num w:numId="13">
    <w:abstractNumId w:val="7"/>
  </w:num>
  <w:num w:numId="14">
    <w:abstractNumId w:val="7"/>
  </w:num>
  <w:num w:numId="15">
    <w:abstractNumId w:val="2"/>
  </w:num>
  <w:num w:numId="16">
    <w:abstractNumId w:val="1"/>
  </w:num>
  <w:num w:numId="17">
    <w:abstractNumId w:val="1"/>
  </w:num>
  <w:num w:numId="18">
    <w:abstractNumId w:val="1"/>
  </w:num>
  <w:num w:numId="19">
    <w:abstractNumId w:val="1"/>
  </w:num>
  <w:num w:numId="20">
    <w:abstractNumId w:val="11"/>
  </w:num>
  <w:num w:numId="21">
    <w:abstractNumId w:val="12"/>
  </w:num>
  <w:num w:numId="22">
    <w:abstractNumId w:val="13"/>
  </w:num>
  <w:num w:numId="23">
    <w:abstractNumId w:val="4"/>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
  </w:num>
  <w:num w:numId="29">
    <w:abstractNumId w:val="1"/>
  </w:num>
  <w:num w:numId="30">
    <w:abstractNumId w:val="1"/>
  </w:num>
  <w:num w:numId="31">
    <w:abstractNumId w:val="1"/>
  </w:num>
  <w:num w:numId="32">
    <w:abstractNumId w:val="1"/>
  </w:num>
  <w:num w:numId="33">
    <w:abstractNumId w:val="1"/>
  </w:num>
  <w:num w:numId="34">
    <w:abstractNumId w:val="6"/>
  </w:num>
  <w:num w:numId="35">
    <w:abstractNumId w:val="1"/>
  </w:num>
  <w:num w:numId="36">
    <w:abstractNumId w:val="1"/>
  </w:num>
  <w:num w:numId="37">
    <w:abstractNumId w:val="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DA"/>
    <w:rsid w:val="00024E0A"/>
    <w:rsid w:val="0004582E"/>
    <w:rsid w:val="00045BD4"/>
    <w:rsid w:val="00056C4D"/>
    <w:rsid w:val="00082EAF"/>
    <w:rsid w:val="00082F4B"/>
    <w:rsid w:val="000A551E"/>
    <w:rsid w:val="000B428E"/>
    <w:rsid w:val="000C2BBB"/>
    <w:rsid w:val="000C367D"/>
    <w:rsid w:val="001336A7"/>
    <w:rsid w:val="001354D7"/>
    <w:rsid w:val="00147F5A"/>
    <w:rsid w:val="001757E4"/>
    <w:rsid w:val="00183812"/>
    <w:rsid w:val="001A2170"/>
    <w:rsid w:val="001A41D7"/>
    <w:rsid w:val="001B246C"/>
    <w:rsid w:val="001E2F1D"/>
    <w:rsid w:val="001F61EB"/>
    <w:rsid w:val="00217F19"/>
    <w:rsid w:val="00223D17"/>
    <w:rsid w:val="00231243"/>
    <w:rsid w:val="002404C3"/>
    <w:rsid w:val="00241844"/>
    <w:rsid w:val="002469E5"/>
    <w:rsid w:val="00251645"/>
    <w:rsid w:val="002958AA"/>
    <w:rsid w:val="002B1AF7"/>
    <w:rsid w:val="002B4E05"/>
    <w:rsid w:val="002B5F37"/>
    <w:rsid w:val="002F3CC9"/>
    <w:rsid w:val="00302AD4"/>
    <w:rsid w:val="00346D9E"/>
    <w:rsid w:val="003A1BF4"/>
    <w:rsid w:val="003A36C9"/>
    <w:rsid w:val="003B2D6C"/>
    <w:rsid w:val="003C0226"/>
    <w:rsid w:val="003D5AF4"/>
    <w:rsid w:val="003E1CBE"/>
    <w:rsid w:val="00402886"/>
    <w:rsid w:val="00402AA7"/>
    <w:rsid w:val="00460A2A"/>
    <w:rsid w:val="004627C4"/>
    <w:rsid w:val="0046791C"/>
    <w:rsid w:val="004C3BF0"/>
    <w:rsid w:val="004E0C05"/>
    <w:rsid w:val="004E6F9A"/>
    <w:rsid w:val="00513E98"/>
    <w:rsid w:val="00527FF4"/>
    <w:rsid w:val="00550418"/>
    <w:rsid w:val="0055203B"/>
    <w:rsid w:val="005637AD"/>
    <w:rsid w:val="00575AE7"/>
    <w:rsid w:val="00585ACF"/>
    <w:rsid w:val="00586F92"/>
    <w:rsid w:val="005B4FB4"/>
    <w:rsid w:val="005B72DF"/>
    <w:rsid w:val="005C045D"/>
    <w:rsid w:val="005C6370"/>
    <w:rsid w:val="005D2609"/>
    <w:rsid w:val="005D57AF"/>
    <w:rsid w:val="00603B24"/>
    <w:rsid w:val="00605BF2"/>
    <w:rsid w:val="0061653F"/>
    <w:rsid w:val="00635901"/>
    <w:rsid w:val="0064023B"/>
    <w:rsid w:val="00653FAD"/>
    <w:rsid w:val="006833E1"/>
    <w:rsid w:val="006B0107"/>
    <w:rsid w:val="006B61DB"/>
    <w:rsid w:val="006B6476"/>
    <w:rsid w:val="006C4671"/>
    <w:rsid w:val="006E4C53"/>
    <w:rsid w:val="006F452E"/>
    <w:rsid w:val="007036BE"/>
    <w:rsid w:val="00710DF1"/>
    <w:rsid w:val="00727788"/>
    <w:rsid w:val="007304F0"/>
    <w:rsid w:val="00737D92"/>
    <w:rsid w:val="007669ED"/>
    <w:rsid w:val="007756DA"/>
    <w:rsid w:val="00785C5A"/>
    <w:rsid w:val="00790BC8"/>
    <w:rsid w:val="00795150"/>
    <w:rsid w:val="007F4A9B"/>
    <w:rsid w:val="008239A5"/>
    <w:rsid w:val="00850E92"/>
    <w:rsid w:val="008551FC"/>
    <w:rsid w:val="008973E2"/>
    <w:rsid w:val="008B3A8C"/>
    <w:rsid w:val="008D1754"/>
    <w:rsid w:val="008D3529"/>
    <w:rsid w:val="008E5576"/>
    <w:rsid w:val="008F3E08"/>
    <w:rsid w:val="00906833"/>
    <w:rsid w:val="00906E00"/>
    <w:rsid w:val="009072E0"/>
    <w:rsid w:val="00907663"/>
    <w:rsid w:val="0091527E"/>
    <w:rsid w:val="00920081"/>
    <w:rsid w:val="009251E6"/>
    <w:rsid w:val="00925ADE"/>
    <w:rsid w:val="00951642"/>
    <w:rsid w:val="00953C9A"/>
    <w:rsid w:val="009578B7"/>
    <w:rsid w:val="00993028"/>
    <w:rsid w:val="00995D31"/>
    <w:rsid w:val="009C0069"/>
    <w:rsid w:val="009D4EA0"/>
    <w:rsid w:val="009E1BE5"/>
    <w:rsid w:val="009E4B5F"/>
    <w:rsid w:val="009E5EC7"/>
    <w:rsid w:val="009E6BAA"/>
    <w:rsid w:val="009F7BF5"/>
    <w:rsid w:val="00A034E6"/>
    <w:rsid w:val="00A13E99"/>
    <w:rsid w:val="00A65A5A"/>
    <w:rsid w:val="00A71C6F"/>
    <w:rsid w:val="00A770EE"/>
    <w:rsid w:val="00A87855"/>
    <w:rsid w:val="00AA5246"/>
    <w:rsid w:val="00B249A6"/>
    <w:rsid w:val="00B81FD9"/>
    <w:rsid w:val="00B93E22"/>
    <w:rsid w:val="00BC5962"/>
    <w:rsid w:val="00BC64B8"/>
    <w:rsid w:val="00BD054B"/>
    <w:rsid w:val="00BE5A7B"/>
    <w:rsid w:val="00BF3489"/>
    <w:rsid w:val="00BF3FC4"/>
    <w:rsid w:val="00C01992"/>
    <w:rsid w:val="00C077FE"/>
    <w:rsid w:val="00C07D28"/>
    <w:rsid w:val="00C276B9"/>
    <w:rsid w:val="00C354EB"/>
    <w:rsid w:val="00C45932"/>
    <w:rsid w:val="00C47579"/>
    <w:rsid w:val="00C6002C"/>
    <w:rsid w:val="00C82006"/>
    <w:rsid w:val="00C9598D"/>
    <w:rsid w:val="00C9653B"/>
    <w:rsid w:val="00CA0FB9"/>
    <w:rsid w:val="00CC1D7B"/>
    <w:rsid w:val="00CD4F49"/>
    <w:rsid w:val="00CE0689"/>
    <w:rsid w:val="00D14159"/>
    <w:rsid w:val="00D21DE9"/>
    <w:rsid w:val="00D2287D"/>
    <w:rsid w:val="00D6099F"/>
    <w:rsid w:val="00D729F6"/>
    <w:rsid w:val="00D87D71"/>
    <w:rsid w:val="00D9723F"/>
    <w:rsid w:val="00DC5CA5"/>
    <w:rsid w:val="00DD4ABE"/>
    <w:rsid w:val="00DD4F54"/>
    <w:rsid w:val="00DE2733"/>
    <w:rsid w:val="00DF09C5"/>
    <w:rsid w:val="00E14F08"/>
    <w:rsid w:val="00E33741"/>
    <w:rsid w:val="00E37225"/>
    <w:rsid w:val="00E467CF"/>
    <w:rsid w:val="00E51163"/>
    <w:rsid w:val="00E57DDA"/>
    <w:rsid w:val="00E83481"/>
    <w:rsid w:val="00EA130D"/>
    <w:rsid w:val="00EA5CD6"/>
    <w:rsid w:val="00EB2917"/>
    <w:rsid w:val="00EB29F1"/>
    <w:rsid w:val="00EB586B"/>
    <w:rsid w:val="00EB7321"/>
    <w:rsid w:val="00EC1EC3"/>
    <w:rsid w:val="00ED5C79"/>
    <w:rsid w:val="00ED6A59"/>
    <w:rsid w:val="00EF21F0"/>
    <w:rsid w:val="00EF620B"/>
    <w:rsid w:val="00F11A4B"/>
    <w:rsid w:val="00F23056"/>
    <w:rsid w:val="00F27487"/>
    <w:rsid w:val="00F420A9"/>
    <w:rsid w:val="00F42A78"/>
    <w:rsid w:val="00F60D01"/>
    <w:rsid w:val="00F65552"/>
    <w:rsid w:val="00FA0929"/>
    <w:rsid w:val="00FB1610"/>
    <w:rsid w:val="00FB3802"/>
    <w:rsid w:val="00FC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FF9F"/>
  <w15:chartTrackingRefBased/>
  <w15:docId w15:val="{DC0E2FE2-336C-477F-AB9C-5BEF3B8A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00" w:line="276" w:lineRule="auto"/>
        <w:ind w:firstLine="720"/>
      </w:pPr>
    </w:pPrDefault>
  </w:docDefaults>
  <w:latentStyles w:defLockedState="0" w:defUIPriority="99" w:defSemiHidden="0" w:defUnhideWhenUsed="0" w:defQFormat="0" w:count="377">
    <w:lsdException w:name="Normal" w:uiPriority="1"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14"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E57DDA"/>
  </w:style>
  <w:style w:type="paragraph" w:styleId="Heading1">
    <w:name w:val="heading 1"/>
    <w:basedOn w:val="Normal"/>
    <w:link w:val="Heading1Char"/>
    <w:uiPriority w:val="3"/>
    <w:qFormat/>
    <w:rsid w:val="002404C3"/>
    <w:pPr>
      <w:keepNext/>
      <w:keepLines/>
      <w:numPr>
        <w:numId w:val="14"/>
      </w:numPr>
      <w:spacing w:before="240" w:after="240"/>
      <w:outlineLvl w:val="0"/>
    </w:pPr>
    <w:rPr>
      <w:rFonts w:asciiTheme="majorHAnsi" w:eastAsiaTheme="majorEastAsia" w:hAnsiTheme="majorHAnsi" w:cstheme="majorBidi"/>
      <w:b/>
      <w:sz w:val="28"/>
      <w:szCs w:val="32"/>
      <w:u w:val="single"/>
    </w:rPr>
  </w:style>
  <w:style w:type="paragraph" w:styleId="Heading2">
    <w:name w:val="heading 2"/>
    <w:basedOn w:val="Normal"/>
    <w:next w:val="Normal"/>
    <w:link w:val="Heading2Char"/>
    <w:uiPriority w:val="4"/>
    <w:qFormat/>
    <w:rsid w:val="002404C3"/>
    <w:pPr>
      <w:keepNext/>
      <w:numPr>
        <w:ilvl w:val="1"/>
        <w:numId w:val="14"/>
      </w:numPr>
      <w:spacing w:before="240" w:after="240"/>
      <w:outlineLvl w:val="1"/>
    </w:pPr>
    <w:rPr>
      <w:rFonts w:eastAsiaTheme="majorEastAsia" w:cstheme="majorBidi"/>
      <w:b/>
      <w:szCs w:val="26"/>
      <w:u w:val="single"/>
    </w:rPr>
  </w:style>
  <w:style w:type="paragraph" w:styleId="Heading3">
    <w:name w:val="heading 3"/>
    <w:basedOn w:val="Normal"/>
    <w:link w:val="Heading3Char"/>
    <w:uiPriority w:val="5"/>
    <w:qFormat/>
    <w:rsid w:val="002404C3"/>
    <w:pPr>
      <w:keepNext/>
      <w:numPr>
        <w:ilvl w:val="2"/>
        <w:numId w:val="15"/>
      </w:numPr>
      <w:spacing w:before="240" w:after="240" w:line="240" w:lineRule="auto"/>
      <w:ind w:firstLine="0"/>
      <w:jc w:val="center"/>
      <w:outlineLvl w:val="2"/>
    </w:pPr>
    <w:rPr>
      <w:rFonts w:eastAsiaTheme="majorEastAsia" w:cstheme="majorBidi"/>
      <w:b/>
      <w:u w:val="single"/>
    </w:rPr>
  </w:style>
  <w:style w:type="paragraph" w:styleId="Heading4">
    <w:name w:val="heading 4"/>
    <w:basedOn w:val="Normal"/>
    <w:link w:val="Heading4Char"/>
    <w:autoRedefine/>
    <w:uiPriority w:val="6"/>
    <w:qFormat/>
    <w:rsid w:val="008D3529"/>
    <w:pPr>
      <w:keepNext/>
      <w:keepLines/>
      <w:framePr w:wrap="notBeside" w:hAnchor="text"/>
      <w:spacing w:before="40"/>
      <w:jc w:val="center"/>
      <w:outlineLvl w:val="3"/>
    </w:pPr>
    <w:rPr>
      <w:rFonts w:asciiTheme="majorHAnsi" w:eastAsiaTheme="majorEastAsia" w:hAnsiTheme="majorHAnsi" w:cstheme="majorBidi"/>
      <w:b/>
      <w:iCs/>
      <w:u w:val="single"/>
    </w:rPr>
  </w:style>
  <w:style w:type="paragraph" w:styleId="Heading5">
    <w:name w:val="heading 5"/>
    <w:basedOn w:val="Normal"/>
    <w:link w:val="Heading5Char"/>
    <w:uiPriority w:val="9"/>
    <w:semiHidden/>
    <w:unhideWhenUsed/>
    <w:qFormat/>
    <w:rsid w:val="008D3529"/>
    <w:pPr>
      <w:keepNext/>
      <w:keepLines/>
      <w:framePr w:wrap="notBeside" w:hAnchor="text"/>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
    <w:qFormat/>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styleId="EndnoteText">
    <w:name w:val="endnote text"/>
    <w:basedOn w:val="Normal"/>
    <w:link w:val="EndnoteTextChar"/>
    <w:uiPriority w:val="99"/>
    <w:unhideWhenUsed/>
    <w:qFormat/>
    <w:rsid w:val="003D5AF4"/>
    <w:pPr>
      <w:keepLines/>
      <w:framePr w:wrap="notBeside" w:hAnchor="text"/>
      <w:spacing w:after="120" w:line="240" w:lineRule="auto"/>
      <w:ind w:left="360" w:hanging="360"/>
    </w:pPr>
    <w:rPr>
      <w:sz w:val="28"/>
    </w:rPr>
  </w:style>
  <w:style w:type="character" w:customStyle="1" w:styleId="EndnoteTextChar">
    <w:name w:val="Endnote Text Char"/>
    <w:basedOn w:val="DefaultParagraphFont"/>
    <w:link w:val="EndnoteText"/>
    <w:uiPriority w:val="99"/>
    <w:rsid w:val="003D5AF4"/>
    <w:rPr>
      <w:sz w:val="28"/>
    </w:rPr>
  </w:style>
  <w:style w:type="character" w:styleId="EndnoteReference">
    <w:name w:val="endnote reference"/>
    <w:basedOn w:val="DefaultParagraphFont"/>
    <w:uiPriority w:val="14"/>
    <w:qFormat/>
    <w:rsid w:val="00F11A4B"/>
    <w:rPr>
      <w:rFonts w:ascii="Times New Roman" w:hAnsi="Times New Roman"/>
      <w:b/>
      <w:color w:val="auto"/>
      <w:sz w:val="28"/>
      <w:vertAlign w:val="superscript"/>
    </w:rPr>
  </w:style>
  <w:style w:type="table" w:styleId="TableGrid">
    <w:name w:val="Table Grid"/>
    <w:basedOn w:val="TableNormal"/>
    <w:uiPriority w:val="59"/>
    <w:rsid w:val="008D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Quote">
    <w:name w:val="Legal Quote"/>
    <w:basedOn w:val="Normal"/>
    <w:uiPriority w:val="1"/>
    <w:qFormat/>
    <w:rsid w:val="008D3529"/>
    <w:pPr>
      <w:autoSpaceDE w:val="0"/>
      <w:autoSpaceDN w:val="0"/>
      <w:adjustRightInd w:val="0"/>
      <w:spacing w:after="0" w:line="240" w:lineRule="auto"/>
      <w:ind w:left="720" w:right="720" w:firstLine="0"/>
      <w:jc w:val="both"/>
    </w:pPr>
    <w:rPr>
      <w:rFonts w:eastAsiaTheme="minorEastAsia"/>
    </w:rPr>
  </w:style>
  <w:style w:type="paragraph" w:customStyle="1" w:styleId="TableParagraph">
    <w:name w:val="Table Paragraph"/>
    <w:basedOn w:val="Normal"/>
    <w:autoRedefine/>
    <w:uiPriority w:val="7"/>
    <w:qFormat/>
    <w:rsid w:val="008D3529"/>
    <w:pPr>
      <w:keepNext/>
      <w:keepLines/>
      <w:framePr w:wrap="notBeside" w:hAnchor="text"/>
      <w:spacing w:after="0" w:line="240" w:lineRule="auto"/>
    </w:pPr>
  </w:style>
  <w:style w:type="paragraph" w:customStyle="1" w:styleId="Style1">
    <w:name w:val="Style1"/>
    <w:basedOn w:val="Normal"/>
    <w:autoRedefine/>
    <w:uiPriority w:val="24"/>
    <w:qFormat/>
    <w:rsid w:val="008D3529"/>
    <w:pPr>
      <w:framePr w:wrap="notBeside" w:hAnchor="text"/>
    </w:pPr>
    <w:rPr>
      <w:position w:val="9"/>
      <w:sz w:val="20"/>
    </w:rPr>
  </w:style>
  <w:style w:type="paragraph" w:customStyle="1" w:styleId="Footnote">
    <w:name w:val="Footnote"/>
    <w:basedOn w:val="Normal"/>
    <w:autoRedefine/>
    <w:uiPriority w:val="1"/>
    <w:qFormat/>
    <w:rsid w:val="008D3529"/>
    <w:pPr>
      <w:keepLines/>
      <w:framePr w:wrap="notBeside" w:hAnchor="text"/>
    </w:pPr>
    <w:rPr>
      <w:sz w:val="20"/>
    </w:rPr>
  </w:style>
  <w:style w:type="numbering" w:customStyle="1" w:styleId="JordiesClass">
    <w:name w:val="Jordie's Class"/>
    <w:uiPriority w:val="99"/>
    <w:rsid w:val="008D3529"/>
    <w:pPr>
      <w:numPr>
        <w:numId w:val="1"/>
      </w:numPr>
    </w:pPr>
  </w:style>
  <w:style w:type="paragraph" w:customStyle="1" w:styleId="17">
    <w:name w:val="_17"/>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16">
    <w:name w:val="_16"/>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15">
    <w:name w:val="_15"/>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14">
    <w:name w:val="_14"/>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13">
    <w:name w:val="_13"/>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12">
    <w:name w:val="_12"/>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11">
    <w:name w:val="_11"/>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0">
    <w:name w:val="_10"/>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Level9">
    <w:name w:val="Level 9"/>
    <w:uiPriority w:val="99"/>
    <w:rsid w:val="008D3529"/>
    <w:pPr>
      <w:widowControl w:val="0"/>
      <w:autoSpaceDE w:val="0"/>
      <w:autoSpaceDN w:val="0"/>
      <w:adjustRightInd w:val="0"/>
      <w:ind w:left="-1440"/>
      <w:jc w:val="both"/>
    </w:pPr>
    <w:rPr>
      <w:rFonts w:eastAsiaTheme="minorEastAsia"/>
      <w:b/>
      <w:bCs/>
    </w:rPr>
  </w:style>
  <w:style w:type="paragraph" w:customStyle="1" w:styleId="26">
    <w:name w:val="_26"/>
    <w:uiPriority w:val="99"/>
    <w:rsid w:val="008D3529"/>
    <w:pPr>
      <w:widowControl w:val="0"/>
      <w:autoSpaceDE w:val="0"/>
      <w:autoSpaceDN w:val="0"/>
      <w:adjustRightInd w:val="0"/>
      <w:jc w:val="both"/>
    </w:pPr>
    <w:rPr>
      <w:rFonts w:eastAsiaTheme="minorEastAsia"/>
    </w:rPr>
  </w:style>
  <w:style w:type="paragraph" w:customStyle="1" w:styleId="25">
    <w:name w:val="_25"/>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24">
    <w:name w:val="_24"/>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23">
    <w:name w:val="_23"/>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22">
    <w:name w:val="_22"/>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21">
    <w:name w:val="_21"/>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0">
    <w:name w:val="_20"/>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9">
    <w:name w:val="_19"/>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18">
    <w:name w:val="_18"/>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9">
    <w:name w:val="_9"/>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8">
    <w:name w:val="_8"/>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7">
    <w:name w:val="_7"/>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6">
    <w:name w:val="_6"/>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5">
    <w:name w:val="_5"/>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4">
    <w:name w:val="_4"/>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3">
    <w:name w:val="_3"/>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
    <w:name w:val="_2"/>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
    <w:name w:val="_1"/>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a">
    <w:name w:val="_"/>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DefinitionT">
    <w:name w:val="Definition T"/>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DefinitionL">
    <w:name w:val="Definition L"/>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eastAsiaTheme="minorEastAsia"/>
    </w:rPr>
  </w:style>
  <w:style w:type="character" w:customStyle="1" w:styleId="Definition">
    <w:name w:val="Definition"/>
    <w:uiPriority w:val="99"/>
    <w:rsid w:val="008D3529"/>
    <w:rPr>
      <w:i/>
      <w:iCs/>
    </w:rPr>
  </w:style>
  <w:style w:type="paragraph" w:customStyle="1" w:styleId="H1">
    <w:name w:val="H1"/>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48"/>
      <w:szCs w:val="48"/>
    </w:rPr>
  </w:style>
  <w:style w:type="paragraph" w:customStyle="1" w:styleId="H2">
    <w:name w:val="H2"/>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36"/>
      <w:szCs w:val="36"/>
    </w:rPr>
  </w:style>
  <w:style w:type="paragraph" w:customStyle="1" w:styleId="H3">
    <w:name w:val="H3"/>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8"/>
      <w:szCs w:val="28"/>
    </w:rPr>
  </w:style>
  <w:style w:type="paragraph" w:customStyle="1" w:styleId="H4">
    <w:name w:val="H4"/>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rPr>
  </w:style>
  <w:style w:type="paragraph" w:customStyle="1" w:styleId="H5">
    <w:name w:val="H5"/>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0"/>
      <w:szCs w:val="20"/>
    </w:rPr>
  </w:style>
  <w:style w:type="paragraph" w:customStyle="1" w:styleId="H6">
    <w:name w:val="H6"/>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16"/>
      <w:szCs w:val="16"/>
    </w:rPr>
  </w:style>
  <w:style w:type="paragraph" w:customStyle="1" w:styleId="Address">
    <w:name w:val="Address"/>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i/>
      <w:iCs/>
    </w:rPr>
  </w:style>
  <w:style w:type="paragraph" w:customStyle="1" w:styleId="Blockquote">
    <w:name w:val="Blockquote"/>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eastAsiaTheme="minorEastAsia"/>
    </w:rPr>
  </w:style>
  <w:style w:type="character" w:customStyle="1" w:styleId="CITE">
    <w:name w:val="CITE"/>
    <w:uiPriority w:val="99"/>
    <w:rsid w:val="008D3529"/>
    <w:rPr>
      <w:i/>
      <w:iCs/>
    </w:rPr>
  </w:style>
  <w:style w:type="character" w:customStyle="1" w:styleId="CODE">
    <w:name w:val="CODE"/>
    <w:uiPriority w:val="99"/>
    <w:rsid w:val="008D3529"/>
    <w:rPr>
      <w:rFonts w:ascii="Courier New" w:hAnsi="Courier New" w:cs="Courier New"/>
      <w:sz w:val="20"/>
      <w:szCs w:val="20"/>
    </w:rPr>
  </w:style>
  <w:style w:type="character" w:customStyle="1" w:styleId="FollowedHype">
    <w:name w:val="FollowedHype"/>
    <w:uiPriority w:val="99"/>
    <w:rsid w:val="008D3529"/>
    <w:rPr>
      <w:color w:val="800080"/>
      <w:u w:val="single"/>
    </w:rPr>
  </w:style>
  <w:style w:type="character" w:customStyle="1" w:styleId="Keyboard">
    <w:name w:val="Keyboard"/>
    <w:uiPriority w:val="99"/>
    <w:rsid w:val="008D3529"/>
    <w:rPr>
      <w:rFonts w:ascii="Courier New" w:hAnsi="Courier New" w:cs="Courier New"/>
      <w:b/>
      <w:bCs/>
      <w:sz w:val="20"/>
      <w:szCs w:val="20"/>
    </w:rPr>
  </w:style>
  <w:style w:type="paragraph" w:customStyle="1" w:styleId="Preformatted">
    <w:name w:val="Preformatted"/>
    <w:uiPriority w:val="99"/>
    <w:rsid w:val="008D352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eastAsiaTheme="minorEastAsia" w:hAnsi="Courier New" w:cs="Courier New"/>
      <w:sz w:val="20"/>
      <w:szCs w:val="20"/>
    </w:rPr>
  </w:style>
  <w:style w:type="paragraph" w:customStyle="1" w:styleId="zBottomof">
    <w:name w:val="zBottom of"/>
    <w:uiPriority w:val="99"/>
    <w:rsid w:val="008D352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paragraph" w:customStyle="1" w:styleId="zTopofFor">
    <w:name w:val="zTop of For"/>
    <w:uiPriority w:val="99"/>
    <w:rsid w:val="008D352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customStyle="1" w:styleId="Sample">
    <w:name w:val="Sample"/>
    <w:uiPriority w:val="99"/>
    <w:rsid w:val="008D3529"/>
    <w:rPr>
      <w:rFonts w:ascii="Courier New" w:hAnsi="Courier New" w:cs="Courier New"/>
    </w:rPr>
  </w:style>
  <w:style w:type="character" w:customStyle="1" w:styleId="Typewriter">
    <w:name w:val="Typewriter"/>
    <w:uiPriority w:val="99"/>
    <w:rsid w:val="008D3529"/>
    <w:rPr>
      <w:rFonts w:ascii="Courier New" w:hAnsi="Courier New" w:cs="Courier New"/>
      <w:sz w:val="20"/>
      <w:szCs w:val="20"/>
    </w:rPr>
  </w:style>
  <w:style w:type="character" w:customStyle="1" w:styleId="Variable">
    <w:name w:val="Variable"/>
    <w:uiPriority w:val="99"/>
    <w:rsid w:val="008D3529"/>
    <w:rPr>
      <w:i/>
      <w:iCs/>
    </w:rPr>
  </w:style>
  <w:style w:type="character" w:customStyle="1" w:styleId="HTMLMarkup">
    <w:name w:val="HTML Markup"/>
    <w:uiPriority w:val="99"/>
    <w:rsid w:val="008D3529"/>
    <w:rPr>
      <w:vanish/>
      <w:color w:val="FF0000"/>
    </w:rPr>
  </w:style>
  <w:style w:type="character" w:customStyle="1" w:styleId="Comment">
    <w:name w:val="Comment"/>
    <w:uiPriority w:val="99"/>
    <w:rsid w:val="008D3529"/>
  </w:style>
  <w:style w:type="character" w:customStyle="1" w:styleId="DefaultPara">
    <w:name w:val="Default Para"/>
    <w:uiPriority w:val="99"/>
    <w:rsid w:val="008D3529"/>
  </w:style>
  <w:style w:type="character" w:customStyle="1" w:styleId="cosearchterm">
    <w:name w:val="co_searchterm"/>
    <w:basedOn w:val="DefaultParagraphFont"/>
    <w:uiPriority w:val="99"/>
    <w:rsid w:val="008D3529"/>
  </w:style>
  <w:style w:type="character" w:customStyle="1" w:styleId="costarpage">
    <w:name w:val="co_starpage"/>
    <w:basedOn w:val="DefaultParagraphFont"/>
    <w:uiPriority w:val="99"/>
    <w:rsid w:val="008D3529"/>
  </w:style>
  <w:style w:type="character" w:customStyle="1" w:styleId="counderline">
    <w:name w:val="co_underline"/>
    <w:basedOn w:val="DefaultParagraphFont"/>
    <w:uiPriority w:val="99"/>
    <w:rsid w:val="008D3529"/>
  </w:style>
  <w:style w:type="paragraph" w:customStyle="1" w:styleId="ListParaNoIndent">
    <w:name w:val="List Para No Indent"/>
    <w:basedOn w:val="ListParagraph"/>
    <w:link w:val="ListParaNoIndentChar"/>
    <w:uiPriority w:val="2"/>
    <w:qFormat/>
    <w:rsid w:val="008551FC"/>
    <w:pPr>
      <w:numPr>
        <w:numId w:val="10"/>
      </w:numPr>
      <w:tabs>
        <w:tab w:val="left" w:pos="43"/>
        <w:tab w:val="left" w:pos="432"/>
      </w:tabs>
    </w:pPr>
    <w:rPr>
      <w:sz w:val="28"/>
    </w:rPr>
  </w:style>
  <w:style w:type="character" w:customStyle="1" w:styleId="ListParaNoIndentChar">
    <w:name w:val="List Para No Indent Char"/>
    <w:basedOn w:val="ListParagraphChar"/>
    <w:link w:val="ListParaNoIndent"/>
    <w:uiPriority w:val="2"/>
    <w:rsid w:val="008551FC"/>
    <w:rPr>
      <w:sz w:val="28"/>
      <w:szCs w:val="24"/>
    </w:rPr>
  </w:style>
  <w:style w:type="paragraph" w:styleId="ListParagraph">
    <w:name w:val="List Paragraph"/>
    <w:basedOn w:val="Normal"/>
    <w:link w:val="ListParagraphChar"/>
    <w:uiPriority w:val="34"/>
    <w:qFormat/>
    <w:rsid w:val="008D3529"/>
    <w:pPr>
      <w:ind w:left="432" w:hanging="432"/>
    </w:pPr>
  </w:style>
  <w:style w:type="paragraph" w:customStyle="1" w:styleId="endnotetex1">
    <w:name w:val="endnote tex1"/>
    <w:basedOn w:val="Normal"/>
    <w:qFormat/>
    <w:rsid w:val="008D3529"/>
    <w:pPr>
      <w:widowControl w:val="0"/>
      <w:spacing w:after="0" w:line="240" w:lineRule="auto"/>
      <w:ind w:left="360" w:hanging="360"/>
    </w:pPr>
    <w:rPr>
      <w:rFonts w:eastAsia="Times New Roman"/>
      <w:szCs w:val="20"/>
    </w:rPr>
  </w:style>
  <w:style w:type="character" w:customStyle="1" w:styleId="cohighlight">
    <w:name w:val="co_highlight"/>
    <w:rsid w:val="008D3529"/>
    <w:rPr>
      <w:rFonts w:cs="Times New Roman"/>
    </w:rPr>
  </w:style>
  <w:style w:type="numbering" w:customStyle="1" w:styleId="BigPaper">
    <w:name w:val="Big Paper"/>
    <w:uiPriority w:val="99"/>
    <w:rsid w:val="008D3529"/>
    <w:pPr>
      <w:numPr>
        <w:numId w:val="3"/>
      </w:numPr>
    </w:pPr>
  </w:style>
  <w:style w:type="numbering" w:customStyle="1" w:styleId="Style2">
    <w:name w:val="Style2"/>
    <w:uiPriority w:val="99"/>
    <w:rsid w:val="008D3529"/>
    <w:pPr>
      <w:numPr>
        <w:numId w:val="4"/>
      </w:numPr>
    </w:pPr>
  </w:style>
  <w:style w:type="character" w:customStyle="1" w:styleId="Heading1Char">
    <w:name w:val="Heading 1 Char"/>
    <w:basedOn w:val="DefaultParagraphFont"/>
    <w:link w:val="Heading1"/>
    <w:uiPriority w:val="3"/>
    <w:rsid w:val="008D3529"/>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4"/>
    <w:rsid w:val="008D3529"/>
    <w:rPr>
      <w:rFonts w:eastAsiaTheme="majorEastAsia" w:cstheme="majorBidi"/>
      <w:b/>
      <w:szCs w:val="26"/>
      <w:u w:val="single"/>
    </w:rPr>
  </w:style>
  <w:style w:type="character" w:customStyle="1" w:styleId="Heading3Char">
    <w:name w:val="Heading 3 Char"/>
    <w:basedOn w:val="DefaultParagraphFont"/>
    <w:link w:val="Heading3"/>
    <w:uiPriority w:val="5"/>
    <w:rsid w:val="002404C3"/>
    <w:rPr>
      <w:rFonts w:eastAsiaTheme="majorEastAsia" w:cstheme="majorBidi"/>
      <w:b/>
      <w:u w:val="single"/>
    </w:rPr>
  </w:style>
  <w:style w:type="character" w:customStyle="1" w:styleId="Heading4Char">
    <w:name w:val="Heading 4 Char"/>
    <w:basedOn w:val="DefaultParagraphFont"/>
    <w:link w:val="Heading4"/>
    <w:uiPriority w:val="6"/>
    <w:rsid w:val="008D3529"/>
    <w:rPr>
      <w:rFonts w:asciiTheme="majorHAnsi" w:eastAsiaTheme="majorEastAsia" w:hAnsiTheme="majorHAnsi" w:cstheme="majorBidi"/>
      <w:b/>
      <w:iCs/>
      <w:szCs w:val="24"/>
      <w:u w:val="single"/>
    </w:rPr>
  </w:style>
  <w:style w:type="character" w:customStyle="1" w:styleId="Heading5Char">
    <w:name w:val="Heading 5 Char"/>
    <w:basedOn w:val="DefaultParagraphFont"/>
    <w:link w:val="Heading5"/>
    <w:uiPriority w:val="9"/>
    <w:semiHidden/>
    <w:rsid w:val="008D3529"/>
    <w:rPr>
      <w:rFonts w:asciiTheme="majorHAnsi" w:eastAsiaTheme="majorEastAsia" w:hAnsiTheme="majorHAnsi" w:cstheme="majorBidi"/>
      <w:color w:val="2F5496" w:themeColor="accent1" w:themeShade="BF"/>
      <w:szCs w:val="24"/>
    </w:rPr>
  </w:style>
  <w:style w:type="paragraph" w:styleId="TOC1">
    <w:name w:val="toc 1"/>
    <w:basedOn w:val="Normal"/>
    <w:next w:val="Normal"/>
    <w:uiPriority w:val="39"/>
    <w:unhideWhenUsed/>
    <w:qFormat/>
    <w:rsid w:val="008D3529"/>
    <w:pPr>
      <w:tabs>
        <w:tab w:val="left" w:pos="1440"/>
        <w:tab w:val="right" w:leader="dot" w:pos="9350"/>
      </w:tabs>
      <w:spacing w:before="120" w:after="120" w:line="240" w:lineRule="auto"/>
      <w:ind w:left="432" w:hanging="432"/>
    </w:pPr>
    <w:rPr>
      <w:rFonts w:cstheme="minorHAnsi"/>
      <w:b/>
      <w:bCs/>
      <w:caps/>
      <w:noProof/>
      <w:szCs w:val="20"/>
    </w:rPr>
  </w:style>
  <w:style w:type="paragraph" w:styleId="TOC2">
    <w:name w:val="toc 2"/>
    <w:basedOn w:val="Normal"/>
    <w:next w:val="Normal"/>
    <w:uiPriority w:val="39"/>
    <w:unhideWhenUsed/>
    <w:qFormat/>
    <w:rsid w:val="008D3529"/>
    <w:pPr>
      <w:spacing w:after="80" w:line="240" w:lineRule="auto"/>
      <w:ind w:left="288" w:firstLine="0"/>
    </w:pPr>
    <w:rPr>
      <w:rFonts w:cstheme="minorHAnsi"/>
      <w:smallCaps/>
      <w:szCs w:val="20"/>
    </w:rPr>
  </w:style>
  <w:style w:type="paragraph" w:styleId="TOC3">
    <w:name w:val="toc 3"/>
    <w:basedOn w:val="Normal"/>
    <w:next w:val="Normal"/>
    <w:uiPriority w:val="39"/>
    <w:unhideWhenUsed/>
    <w:qFormat/>
    <w:rsid w:val="008D3529"/>
    <w:pPr>
      <w:spacing w:after="80" w:line="240" w:lineRule="auto"/>
      <w:ind w:left="1440" w:hanging="720"/>
    </w:pPr>
    <w:rPr>
      <w:rFonts w:cstheme="minorHAnsi"/>
      <w:iCs/>
      <w:szCs w:val="20"/>
    </w:rPr>
  </w:style>
  <w:style w:type="paragraph" w:styleId="TOC4">
    <w:name w:val="toc 4"/>
    <w:basedOn w:val="Normal"/>
    <w:next w:val="Normal"/>
    <w:uiPriority w:val="39"/>
    <w:unhideWhenUsed/>
    <w:qFormat/>
    <w:rsid w:val="008D3529"/>
    <w:pPr>
      <w:spacing w:after="120" w:line="240" w:lineRule="auto"/>
      <w:ind w:left="720"/>
    </w:pPr>
    <w:rPr>
      <w:rFonts w:cstheme="minorHAnsi"/>
      <w:i/>
      <w:sz w:val="20"/>
      <w:szCs w:val="18"/>
    </w:rPr>
  </w:style>
  <w:style w:type="paragraph" w:styleId="TOC5">
    <w:name w:val="toc 5"/>
    <w:basedOn w:val="Normal"/>
    <w:next w:val="Normal"/>
    <w:autoRedefine/>
    <w:uiPriority w:val="39"/>
    <w:unhideWhenUsed/>
    <w:rsid w:val="008D3529"/>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D3529"/>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D3529"/>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D3529"/>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D3529"/>
    <w:pPr>
      <w:spacing w:after="0"/>
      <w:ind w:left="1920"/>
    </w:pPr>
    <w:rPr>
      <w:rFonts w:asciiTheme="minorHAnsi" w:hAnsiTheme="minorHAnsi" w:cstheme="minorHAnsi"/>
      <w:sz w:val="18"/>
      <w:szCs w:val="18"/>
    </w:rPr>
  </w:style>
  <w:style w:type="paragraph" w:styleId="FootnoteText">
    <w:name w:val="footnote text"/>
    <w:basedOn w:val="Normal"/>
    <w:link w:val="FootnoteTextChar"/>
    <w:uiPriority w:val="99"/>
    <w:semiHidden/>
    <w:unhideWhenUsed/>
    <w:rsid w:val="008D3529"/>
    <w:pPr>
      <w:framePr w:wrap="notBeside" w:hAnchor="text"/>
      <w:spacing w:after="0"/>
    </w:pPr>
    <w:rPr>
      <w:sz w:val="20"/>
      <w:szCs w:val="20"/>
    </w:rPr>
  </w:style>
  <w:style w:type="character" w:customStyle="1" w:styleId="FootnoteTextChar">
    <w:name w:val="Footnote Text Char"/>
    <w:basedOn w:val="DefaultParagraphFont"/>
    <w:link w:val="FootnoteText"/>
    <w:uiPriority w:val="99"/>
    <w:semiHidden/>
    <w:rsid w:val="008D3529"/>
    <w:rPr>
      <w:rFonts w:cs="Times New Roman"/>
      <w:sz w:val="20"/>
      <w:szCs w:val="20"/>
    </w:rPr>
  </w:style>
  <w:style w:type="paragraph" w:styleId="CommentText">
    <w:name w:val="annotation text"/>
    <w:basedOn w:val="Normal"/>
    <w:link w:val="CommentTextChar"/>
    <w:uiPriority w:val="99"/>
    <w:semiHidden/>
    <w:unhideWhenUsed/>
    <w:rsid w:val="008D3529"/>
    <w:pPr>
      <w:framePr w:wrap="notBeside" w:hAnchor="text"/>
    </w:pPr>
    <w:rPr>
      <w:sz w:val="20"/>
      <w:szCs w:val="20"/>
    </w:rPr>
  </w:style>
  <w:style w:type="character" w:customStyle="1" w:styleId="CommentTextChar">
    <w:name w:val="Comment Text Char"/>
    <w:basedOn w:val="DefaultParagraphFont"/>
    <w:link w:val="CommentText"/>
    <w:uiPriority w:val="99"/>
    <w:semiHidden/>
    <w:rsid w:val="008D3529"/>
    <w:rPr>
      <w:rFonts w:cs="Times New Roman"/>
      <w:sz w:val="20"/>
      <w:szCs w:val="20"/>
    </w:rPr>
  </w:style>
  <w:style w:type="paragraph" w:styleId="Header">
    <w:name w:val="header"/>
    <w:basedOn w:val="Normal"/>
    <w:link w:val="HeaderChar"/>
    <w:uiPriority w:val="99"/>
    <w:unhideWhenUsed/>
    <w:rsid w:val="008D3529"/>
    <w:pPr>
      <w:framePr w:wrap="notBeside" w:hAnchor="text"/>
      <w:tabs>
        <w:tab w:val="center" w:pos="4680"/>
        <w:tab w:val="right" w:pos="9360"/>
      </w:tabs>
    </w:pPr>
  </w:style>
  <w:style w:type="character" w:customStyle="1" w:styleId="HeaderChar">
    <w:name w:val="Header Char"/>
    <w:basedOn w:val="DefaultParagraphFont"/>
    <w:link w:val="Header"/>
    <w:uiPriority w:val="99"/>
    <w:rsid w:val="008D3529"/>
    <w:rPr>
      <w:rFonts w:cs="Times New Roman"/>
      <w:szCs w:val="24"/>
    </w:rPr>
  </w:style>
  <w:style w:type="paragraph" w:styleId="Footer">
    <w:name w:val="footer"/>
    <w:basedOn w:val="Normal"/>
    <w:link w:val="FooterChar"/>
    <w:uiPriority w:val="99"/>
    <w:unhideWhenUsed/>
    <w:qFormat/>
    <w:rsid w:val="008D3529"/>
    <w:pPr>
      <w:keepLines/>
      <w:spacing w:after="0" w:line="240" w:lineRule="auto"/>
      <w:jc w:val="center"/>
    </w:pPr>
    <w:rPr>
      <w:b/>
      <w:sz w:val="20"/>
    </w:rPr>
  </w:style>
  <w:style w:type="character" w:customStyle="1" w:styleId="FooterChar">
    <w:name w:val="Footer Char"/>
    <w:basedOn w:val="DefaultParagraphFont"/>
    <w:link w:val="Footer"/>
    <w:uiPriority w:val="99"/>
    <w:rsid w:val="008D3529"/>
    <w:rPr>
      <w:rFonts w:cs="Times New Roman"/>
      <w:b/>
      <w:sz w:val="20"/>
      <w:szCs w:val="24"/>
    </w:rPr>
  </w:style>
  <w:style w:type="character" w:styleId="FootnoteReference">
    <w:name w:val="footnote reference"/>
    <w:basedOn w:val="DefaultParagraphFont"/>
    <w:uiPriority w:val="99"/>
    <w:semiHidden/>
    <w:unhideWhenUsed/>
    <w:rsid w:val="008D3529"/>
    <w:rPr>
      <w:vertAlign w:val="superscript"/>
    </w:rPr>
  </w:style>
  <w:style w:type="character" w:styleId="CommentReference">
    <w:name w:val="annotation reference"/>
    <w:basedOn w:val="DefaultParagraphFont"/>
    <w:uiPriority w:val="99"/>
    <w:semiHidden/>
    <w:unhideWhenUsed/>
    <w:rsid w:val="008D3529"/>
    <w:rPr>
      <w:sz w:val="16"/>
      <w:szCs w:val="16"/>
    </w:rPr>
  </w:style>
  <w:style w:type="paragraph" w:styleId="BodyText">
    <w:name w:val="Body Text"/>
    <w:basedOn w:val="Normal"/>
    <w:link w:val="BodyTextChar"/>
    <w:uiPriority w:val="99"/>
    <w:semiHidden/>
    <w:unhideWhenUsed/>
    <w:rsid w:val="008D3529"/>
    <w:pPr>
      <w:framePr w:wrap="notBeside" w:hAnchor="text"/>
    </w:pPr>
  </w:style>
  <w:style w:type="character" w:customStyle="1" w:styleId="BodyTextChar">
    <w:name w:val="Body Text Char"/>
    <w:basedOn w:val="DefaultParagraphFont"/>
    <w:link w:val="BodyText"/>
    <w:uiPriority w:val="99"/>
    <w:semiHidden/>
    <w:rsid w:val="008D3529"/>
    <w:rPr>
      <w:rFonts w:cs="Times New Roman"/>
      <w:szCs w:val="24"/>
    </w:rPr>
  </w:style>
  <w:style w:type="character" w:styleId="Hyperlink">
    <w:name w:val="Hyperlink"/>
    <w:basedOn w:val="DefaultParagraphFont"/>
    <w:uiPriority w:val="99"/>
    <w:qFormat/>
    <w:rsid w:val="008D3529"/>
    <w:rPr>
      <w:b/>
      <w:color w:val="auto"/>
      <w:u w:val="single"/>
    </w:rPr>
  </w:style>
  <w:style w:type="character" w:styleId="Strong">
    <w:name w:val="Strong"/>
    <w:basedOn w:val="DefaultParagraphFont"/>
    <w:uiPriority w:val="99"/>
    <w:qFormat/>
    <w:rsid w:val="008D3529"/>
    <w:rPr>
      <w:b/>
      <w:bCs/>
    </w:rPr>
  </w:style>
  <w:style w:type="character" w:styleId="Emphasis">
    <w:name w:val="Emphasis"/>
    <w:basedOn w:val="DefaultParagraphFont"/>
    <w:uiPriority w:val="20"/>
    <w:qFormat/>
    <w:rsid w:val="008D3529"/>
    <w:rPr>
      <w:i/>
      <w:iCs/>
    </w:rPr>
  </w:style>
  <w:style w:type="paragraph" w:styleId="NormalWeb">
    <w:name w:val="Normal (Web)"/>
    <w:basedOn w:val="Normal"/>
    <w:uiPriority w:val="99"/>
    <w:semiHidden/>
    <w:unhideWhenUsed/>
    <w:rsid w:val="008D3529"/>
    <w:pPr>
      <w:spacing w:before="100" w:beforeAutospacing="1" w:afterAutospacing="1"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8D3529"/>
    <w:pPr>
      <w:framePr w:wrap="notBeside"/>
    </w:pPr>
    <w:rPr>
      <w:b/>
      <w:bCs/>
    </w:rPr>
  </w:style>
  <w:style w:type="character" w:customStyle="1" w:styleId="CommentSubjectChar">
    <w:name w:val="Comment Subject Char"/>
    <w:basedOn w:val="CommentTextChar"/>
    <w:link w:val="CommentSubject"/>
    <w:uiPriority w:val="99"/>
    <w:semiHidden/>
    <w:rsid w:val="008D3529"/>
    <w:rPr>
      <w:rFonts w:cs="Times New Roman"/>
      <w:b/>
      <w:bCs/>
      <w:sz w:val="20"/>
      <w:szCs w:val="20"/>
    </w:rPr>
  </w:style>
  <w:style w:type="paragraph" w:styleId="BalloonText">
    <w:name w:val="Balloon Text"/>
    <w:basedOn w:val="Normal"/>
    <w:link w:val="BalloonTextChar"/>
    <w:autoRedefine/>
    <w:uiPriority w:val="99"/>
    <w:semiHidden/>
    <w:unhideWhenUsed/>
    <w:qFormat/>
    <w:rsid w:val="008D3529"/>
    <w:pPr>
      <w:framePr w:wrap="notBeside" w:hAnchor="text"/>
      <w:pBdr>
        <w:top w:val="single" w:sz="12" w:space="1" w:color="auto"/>
        <w:left w:val="single" w:sz="12" w:space="2" w:color="auto"/>
        <w:bottom w:val="single" w:sz="12" w:space="1" w:color="auto"/>
        <w:right w:val="single" w:sz="12" w:space="2" w:color="auto"/>
      </w:pBdr>
      <w:spacing w:after="0" w:line="240" w:lineRule="auto"/>
    </w:pPr>
    <w:rPr>
      <w:rFonts w:ascii="Tahoma" w:eastAsia="Times New Roman" w:hAnsi="Tahoma" w:cs="Tahoma"/>
      <w:sz w:val="28"/>
      <w:szCs w:val="16"/>
    </w:rPr>
  </w:style>
  <w:style w:type="character" w:customStyle="1" w:styleId="BalloonTextChar">
    <w:name w:val="Balloon Text Char"/>
    <w:link w:val="BalloonText"/>
    <w:uiPriority w:val="99"/>
    <w:semiHidden/>
    <w:rsid w:val="008D3529"/>
    <w:rPr>
      <w:rFonts w:ascii="Tahoma" w:eastAsia="Times New Roman" w:hAnsi="Tahoma" w:cs="Tahoma"/>
      <w:sz w:val="28"/>
      <w:szCs w:val="16"/>
    </w:rPr>
  </w:style>
  <w:style w:type="character" w:customStyle="1" w:styleId="ListParagraphChar">
    <w:name w:val="List Paragraph Char"/>
    <w:basedOn w:val="DefaultParagraphFont"/>
    <w:link w:val="ListParagraph"/>
    <w:uiPriority w:val="34"/>
    <w:rsid w:val="008D3529"/>
    <w:rPr>
      <w:szCs w:val="24"/>
    </w:rPr>
  </w:style>
  <w:style w:type="character" w:styleId="SubtleEmphasis">
    <w:name w:val="Subtle Emphasis"/>
    <w:basedOn w:val="DefaultParagraphFont"/>
    <w:uiPriority w:val="19"/>
    <w:qFormat/>
    <w:rsid w:val="008D3529"/>
    <w:rPr>
      <w:i/>
      <w:iCs/>
      <w:color w:val="404040" w:themeColor="text1" w:themeTint="BF"/>
    </w:rPr>
  </w:style>
  <w:style w:type="paragraph" w:styleId="TOCHeading">
    <w:name w:val="TOC Heading"/>
    <w:basedOn w:val="Heading1"/>
    <w:next w:val="Normal"/>
    <w:uiPriority w:val="39"/>
    <w:unhideWhenUsed/>
    <w:qFormat/>
    <w:rsid w:val="008D3529"/>
    <w:pPr>
      <w:spacing w:after="0" w:line="259" w:lineRule="auto"/>
      <w:outlineLvl w:val="9"/>
    </w:pPr>
    <w:rPr>
      <w:sz w:val="32"/>
    </w:rPr>
  </w:style>
  <w:style w:type="character" w:styleId="UnresolvedMention">
    <w:name w:val="Unresolved Mention"/>
    <w:basedOn w:val="DefaultParagraphFont"/>
    <w:uiPriority w:val="99"/>
    <w:semiHidden/>
    <w:unhideWhenUsed/>
    <w:rsid w:val="00915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5070">
      <w:bodyDiv w:val="1"/>
      <w:marLeft w:val="0"/>
      <w:marRight w:val="0"/>
      <w:marTop w:val="0"/>
      <w:marBottom w:val="0"/>
      <w:divBdr>
        <w:top w:val="none" w:sz="0" w:space="0" w:color="auto"/>
        <w:left w:val="none" w:sz="0" w:space="0" w:color="auto"/>
        <w:bottom w:val="none" w:sz="0" w:space="0" w:color="auto"/>
        <w:right w:val="none" w:sz="0" w:space="0" w:color="auto"/>
      </w:divBdr>
      <w:divsChild>
        <w:div w:id="714549932">
          <w:marLeft w:val="0"/>
          <w:marRight w:val="0"/>
          <w:marTop w:val="0"/>
          <w:marBottom w:val="0"/>
          <w:divBdr>
            <w:top w:val="none" w:sz="0" w:space="0" w:color="auto"/>
            <w:left w:val="none" w:sz="0" w:space="0" w:color="auto"/>
            <w:bottom w:val="none" w:sz="0" w:space="0" w:color="auto"/>
            <w:right w:val="none" w:sz="0" w:space="0" w:color="auto"/>
          </w:divBdr>
          <w:divsChild>
            <w:div w:id="1850486665">
              <w:marLeft w:val="0"/>
              <w:marRight w:val="0"/>
              <w:marTop w:val="0"/>
              <w:marBottom w:val="0"/>
              <w:divBdr>
                <w:top w:val="none" w:sz="0" w:space="0" w:color="auto"/>
                <w:left w:val="none" w:sz="0" w:space="0" w:color="auto"/>
                <w:bottom w:val="none" w:sz="0" w:space="0" w:color="auto"/>
                <w:right w:val="none" w:sz="0" w:space="0" w:color="auto"/>
              </w:divBdr>
              <w:divsChild>
                <w:div w:id="6952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08862">
          <w:marLeft w:val="0"/>
          <w:marRight w:val="0"/>
          <w:marTop w:val="0"/>
          <w:marBottom w:val="0"/>
          <w:divBdr>
            <w:top w:val="none" w:sz="0" w:space="0" w:color="auto"/>
            <w:left w:val="none" w:sz="0" w:space="0" w:color="auto"/>
            <w:bottom w:val="none" w:sz="0" w:space="0" w:color="auto"/>
            <w:right w:val="none" w:sz="0" w:space="0" w:color="auto"/>
          </w:divBdr>
          <w:divsChild>
            <w:div w:id="1485471304">
              <w:marLeft w:val="0"/>
              <w:marRight w:val="0"/>
              <w:marTop w:val="0"/>
              <w:marBottom w:val="0"/>
              <w:divBdr>
                <w:top w:val="none" w:sz="0" w:space="0" w:color="auto"/>
                <w:left w:val="none" w:sz="0" w:space="0" w:color="auto"/>
                <w:bottom w:val="none" w:sz="0" w:space="0" w:color="auto"/>
                <w:right w:val="none" w:sz="0" w:space="0" w:color="auto"/>
              </w:divBdr>
              <w:divsChild>
                <w:div w:id="18698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4694">
          <w:marLeft w:val="0"/>
          <w:marRight w:val="0"/>
          <w:marTop w:val="0"/>
          <w:marBottom w:val="0"/>
          <w:divBdr>
            <w:top w:val="none" w:sz="0" w:space="0" w:color="auto"/>
            <w:left w:val="none" w:sz="0" w:space="0" w:color="auto"/>
            <w:bottom w:val="none" w:sz="0" w:space="0" w:color="auto"/>
            <w:right w:val="none" w:sz="0" w:space="0" w:color="auto"/>
          </w:divBdr>
          <w:divsChild>
            <w:div w:id="1635913060">
              <w:marLeft w:val="0"/>
              <w:marRight w:val="0"/>
              <w:marTop w:val="0"/>
              <w:marBottom w:val="0"/>
              <w:divBdr>
                <w:top w:val="none" w:sz="0" w:space="0" w:color="auto"/>
                <w:left w:val="none" w:sz="0" w:space="0" w:color="auto"/>
                <w:bottom w:val="none" w:sz="0" w:space="0" w:color="auto"/>
                <w:right w:val="none" w:sz="0" w:space="0" w:color="auto"/>
              </w:divBdr>
              <w:divsChild>
                <w:div w:id="17107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4511">
          <w:marLeft w:val="0"/>
          <w:marRight w:val="0"/>
          <w:marTop w:val="0"/>
          <w:marBottom w:val="0"/>
          <w:divBdr>
            <w:top w:val="none" w:sz="0" w:space="0" w:color="auto"/>
            <w:left w:val="none" w:sz="0" w:space="0" w:color="auto"/>
            <w:bottom w:val="none" w:sz="0" w:space="0" w:color="auto"/>
            <w:right w:val="none" w:sz="0" w:space="0" w:color="auto"/>
          </w:divBdr>
          <w:divsChild>
            <w:div w:id="964431746">
              <w:marLeft w:val="0"/>
              <w:marRight w:val="0"/>
              <w:marTop w:val="0"/>
              <w:marBottom w:val="0"/>
              <w:divBdr>
                <w:top w:val="none" w:sz="0" w:space="0" w:color="auto"/>
                <w:left w:val="none" w:sz="0" w:space="0" w:color="auto"/>
                <w:bottom w:val="none" w:sz="0" w:space="0" w:color="auto"/>
                <w:right w:val="none" w:sz="0" w:space="0" w:color="auto"/>
              </w:divBdr>
              <w:divsChild>
                <w:div w:id="19870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96987">
      <w:bodyDiv w:val="1"/>
      <w:marLeft w:val="0"/>
      <w:marRight w:val="0"/>
      <w:marTop w:val="0"/>
      <w:marBottom w:val="0"/>
      <w:divBdr>
        <w:top w:val="none" w:sz="0" w:space="0" w:color="auto"/>
        <w:left w:val="none" w:sz="0" w:space="0" w:color="auto"/>
        <w:bottom w:val="none" w:sz="0" w:space="0" w:color="auto"/>
        <w:right w:val="none" w:sz="0" w:space="0" w:color="auto"/>
      </w:divBdr>
      <w:divsChild>
        <w:div w:id="1092361445">
          <w:marLeft w:val="0"/>
          <w:marRight w:val="0"/>
          <w:marTop w:val="0"/>
          <w:marBottom w:val="0"/>
          <w:divBdr>
            <w:top w:val="none" w:sz="0" w:space="0" w:color="auto"/>
            <w:left w:val="none" w:sz="0" w:space="0" w:color="auto"/>
            <w:bottom w:val="none" w:sz="0" w:space="0" w:color="auto"/>
            <w:right w:val="none" w:sz="0" w:space="0" w:color="auto"/>
          </w:divBdr>
        </w:div>
      </w:divsChild>
    </w:div>
    <w:div w:id="788167531">
      <w:bodyDiv w:val="1"/>
      <w:marLeft w:val="0"/>
      <w:marRight w:val="0"/>
      <w:marTop w:val="0"/>
      <w:marBottom w:val="0"/>
      <w:divBdr>
        <w:top w:val="none" w:sz="0" w:space="0" w:color="auto"/>
        <w:left w:val="none" w:sz="0" w:space="0" w:color="auto"/>
        <w:bottom w:val="none" w:sz="0" w:space="0" w:color="auto"/>
        <w:right w:val="none" w:sz="0" w:space="0" w:color="auto"/>
      </w:divBdr>
      <w:divsChild>
        <w:div w:id="43994959">
          <w:marLeft w:val="0"/>
          <w:marRight w:val="0"/>
          <w:marTop w:val="0"/>
          <w:marBottom w:val="0"/>
          <w:divBdr>
            <w:top w:val="none" w:sz="0" w:space="0" w:color="auto"/>
            <w:left w:val="none" w:sz="0" w:space="0" w:color="auto"/>
            <w:bottom w:val="none" w:sz="0" w:space="0" w:color="auto"/>
            <w:right w:val="none" w:sz="0" w:space="0" w:color="auto"/>
          </w:divBdr>
        </w:div>
      </w:divsChild>
    </w:div>
    <w:div w:id="856886577">
      <w:bodyDiv w:val="1"/>
      <w:marLeft w:val="0"/>
      <w:marRight w:val="0"/>
      <w:marTop w:val="0"/>
      <w:marBottom w:val="0"/>
      <w:divBdr>
        <w:top w:val="none" w:sz="0" w:space="0" w:color="auto"/>
        <w:left w:val="none" w:sz="0" w:space="0" w:color="auto"/>
        <w:bottom w:val="none" w:sz="0" w:space="0" w:color="auto"/>
        <w:right w:val="none" w:sz="0" w:space="0" w:color="auto"/>
      </w:divBdr>
      <w:divsChild>
        <w:div w:id="1536114307">
          <w:marLeft w:val="0"/>
          <w:marRight w:val="0"/>
          <w:marTop w:val="0"/>
          <w:marBottom w:val="0"/>
          <w:divBdr>
            <w:top w:val="none" w:sz="0" w:space="0" w:color="auto"/>
            <w:left w:val="none" w:sz="0" w:space="0" w:color="auto"/>
            <w:bottom w:val="none" w:sz="0" w:space="0" w:color="auto"/>
            <w:right w:val="none" w:sz="0" w:space="0" w:color="auto"/>
          </w:divBdr>
        </w:div>
      </w:divsChild>
    </w:div>
    <w:div w:id="1196580978">
      <w:bodyDiv w:val="1"/>
      <w:marLeft w:val="0"/>
      <w:marRight w:val="0"/>
      <w:marTop w:val="0"/>
      <w:marBottom w:val="0"/>
      <w:divBdr>
        <w:top w:val="none" w:sz="0" w:space="0" w:color="auto"/>
        <w:left w:val="none" w:sz="0" w:space="0" w:color="auto"/>
        <w:bottom w:val="none" w:sz="0" w:space="0" w:color="auto"/>
        <w:right w:val="none" w:sz="0" w:space="0" w:color="auto"/>
      </w:divBdr>
      <w:divsChild>
        <w:div w:id="132526618">
          <w:marLeft w:val="0"/>
          <w:marRight w:val="0"/>
          <w:marTop w:val="240"/>
          <w:marBottom w:val="0"/>
          <w:divBdr>
            <w:top w:val="none" w:sz="0" w:space="0" w:color="auto"/>
            <w:left w:val="none" w:sz="0" w:space="0" w:color="auto"/>
            <w:bottom w:val="none" w:sz="0" w:space="0" w:color="auto"/>
            <w:right w:val="none" w:sz="0" w:space="0" w:color="auto"/>
          </w:divBdr>
          <w:divsChild>
            <w:div w:id="523518761">
              <w:marLeft w:val="0"/>
              <w:marRight w:val="0"/>
              <w:marTop w:val="0"/>
              <w:marBottom w:val="0"/>
              <w:divBdr>
                <w:top w:val="none" w:sz="0" w:space="0" w:color="auto"/>
                <w:left w:val="none" w:sz="0" w:space="0" w:color="auto"/>
                <w:bottom w:val="none" w:sz="0" w:space="0" w:color="auto"/>
                <w:right w:val="none" w:sz="0" w:space="0" w:color="auto"/>
              </w:divBdr>
            </w:div>
          </w:divsChild>
        </w:div>
        <w:div w:id="1282760913">
          <w:marLeft w:val="0"/>
          <w:marRight w:val="0"/>
          <w:marTop w:val="240"/>
          <w:marBottom w:val="0"/>
          <w:divBdr>
            <w:top w:val="none" w:sz="0" w:space="0" w:color="auto"/>
            <w:left w:val="none" w:sz="0" w:space="0" w:color="auto"/>
            <w:bottom w:val="none" w:sz="0" w:space="0" w:color="auto"/>
            <w:right w:val="none" w:sz="0" w:space="0" w:color="auto"/>
          </w:divBdr>
          <w:divsChild>
            <w:div w:id="374895386">
              <w:marLeft w:val="0"/>
              <w:marRight w:val="0"/>
              <w:marTop w:val="0"/>
              <w:marBottom w:val="0"/>
              <w:divBdr>
                <w:top w:val="none" w:sz="0" w:space="0" w:color="auto"/>
                <w:left w:val="none" w:sz="0" w:space="0" w:color="auto"/>
                <w:bottom w:val="none" w:sz="0" w:space="0" w:color="auto"/>
                <w:right w:val="none" w:sz="0" w:space="0" w:color="auto"/>
              </w:divBdr>
            </w:div>
          </w:divsChild>
        </w:div>
        <w:div w:id="1658920396">
          <w:marLeft w:val="0"/>
          <w:marRight w:val="0"/>
          <w:marTop w:val="0"/>
          <w:marBottom w:val="0"/>
          <w:divBdr>
            <w:top w:val="none" w:sz="0" w:space="0" w:color="auto"/>
            <w:left w:val="none" w:sz="0" w:space="0" w:color="auto"/>
            <w:bottom w:val="none" w:sz="0" w:space="0" w:color="auto"/>
            <w:right w:val="none" w:sz="0" w:space="0" w:color="auto"/>
          </w:divBdr>
        </w:div>
      </w:divsChild>
    </w:div>
    <w:div w:id="1264151072">
      <w:bodyDiv w:val="1"/>
      <w:marLeft w:val="0"/>
      <w:marRight w:val="0"/>
      <w:marTop w:val="0"/>
      <w:marBottom w:val="0"/>
      <w:divBdr>
        <w:top w:val="none" w:sz="0" w:space="0" w:color="auto"/>
        <w:left w:val="none" w:sz="0" w:space="0" w:color="auto"/>
        <w:bottom w:val="none" w:sz="0" w:space="0" w:color="auto"/>
        <w:right w:val="none" w:sz="0" w:space="0" w:color="auto"/>
      </w:divBdr>
      <w:divsChild>
        <w:div w:id="312564477">
          <w:marLeft w:val="0"/>
          <w:marRight w:val="0"/>
          <w:marTop w:val="0"/>
          <w:marBottom w:val="0"/>
          <w:divBdr>
            <w:top w:val="none" w:sz="0" w:space="0" w:color="auto"/>
            <w:left w:val="none" w:sz="0" w:space="0" w:color="auto"/>
            <w:bottom w:val="none" w:sz="0" w:space="0" w:color="auto"/>
            <w:right w:val="none" w:sz="0" w:space="0" w:color="auto"/>
          </w:divBdr>
          <w:divsChild>
            <w:div w:id="627052742">
              <w:marLeft w:val="0"/>
              <w:marRight w:val="0"/>
              <w:marTop w:val="0"/>
              <w:marBottom w:val="0"/>
              <w:divBdr>
                <w:top w:val="none" w:sz="0" w:space="0" w:color="auto"/>
                <w:left w:val="none" w:sz="0" w:space="0" w:color="auto"/>
                <w:bottom w:val="none" w:sz="0" w:space="0" w:color="auto"/>
                <w:right w:val="none" w:sz="0" w:space="0" w:color="auto"/>
              </w:divBdr>
              <w:divsChild>
                <w:div w:id="14535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7334">
          <w:marLeft w:val="0"/>
          <w:marRight w:val="0"/>
          <w:marTop w:val="0"/>
          <w:marBottom w:val="0"/>
          <w:divBdr>
            <w:top w:val="none" w:sz="0" w:space="0" w:color="auto"/>
            <w:left w:val="none" w:sz="0" w:space="0" w:color="auto"/>
            <w:bottom w:val="none" w:sz="0" w:space="0" w:color="auto"/>
            <w:right w:val="none" w:sz="0" w:space="0" w:color="auto"/>
          </w:divBdr>
          <w:divsChild>
            <w:div w:id="469905212">
              <w:marLeft w:val="0"/>
              <w:marRight w:val="0"/>
              <w:marTop w:val="0"/>
              <w:marBottom w:val="0"/>
              <w:divBdr>
                <w:top w:val="none" w:sz="0" w:space="0" w:color="auto"/>
                <w:left w:val="none" w:sz="0" w:space="0" w:color="auto"/>
                <w:bottom w:val="none" w:sz="0" w:space="0" w:color="auto"/>
                <w:right w:val="none" w:sz="0" w:space="0" w:color="auto"/>
              </w:divBdr>
            </w:div>
          </w:divsChild>
        </w:div>
        <w:div w:id="562645713">
          <w:marLeft w:val="0"/>
          <w:marRight w:val="0"/>
          <w:marTop w:val="0"/>
          <w:marBottom w:val="0"/>
          <w:divBdr>
            <w:top w:val="none" w:sz="0" w:space="0" w:color="auto"/>
            <w:left w:val="none" w:sz="0" w:space="0" w:color="auto"/>
            <w:bottom w:val="none" w:sz="0" w:space="0" w:color="auto"/>
            <w:right w:val="none" w:sz="0" w:space="0" w:color="auto"/>
          </w:divBdr>
          <w:divsChild>
            <w:div w:id="150104326">
              <w:marLeft w:val="0"/>
              <w:marRight w:val="0"/>
              <w:marTop w:val="0"/>
              <w:marBottom w:val="0"/>
              <w:divBdr>
                <w:top w:val="none" w:sz="0" w:space="0" w:color="auto"/>
                <w:left w:val="none" w:sz="0" w:space="0" w:color="auto"/>
                <w:bottom w:val="none" w:sz="0" w:space="0" w:color="auto"/>
                <w:right w:val="none" w:sz="0" w:space="0" w:color="auto"/>
              </w:divBdr>
              <w:divsChild>
                <w:div w:id="1699237380">
                  <w:marLeft w:val="0"/>
                  <w:marRight w:val="0"/>
                  <w:marTop w:val="0"/>
                  <w:marBottom w:val="0"/>
                  <w:divBdr>
                    <w:top w:val="none" w:sz="0" w:space="0" w:color="auto"/>
                    <w:left w:val="none" w:sz="0" w:space="0" w:color="auto"/>
                    <w:bottom w:val="none" w:sz="0" w:space="0" w:color="auto"/>
                    <w:right w:val="none" w:sz="0" w:space="0" w:color="auto"/>
                  </w:divBdr>
                  <w:divsChild>
                    <w:div w:id="8126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49154">
              <w:marLeft w:val="0"/>
              <w:marRight w:val="0"/>
              <w:marTop w:val="0"/>
              <w:marBottom w:val="0"/>
              <w:divBdr>
                <w:top w:val="none" w:sz="0" w:space="0" w:color="auto"/>
                <w:left w:val="none" w:sz="0" w:space="0" w:color="auto"/>
                <w:bottom w:val="none" w:sz="0" w:space="0" w:color="auto"/>
                <w:right w:val="none" w:sz="0" w:space="0" w:color="auto"/>
              </w:divBdr>
              <w:divsChild>
                <w:div w:id="697047656">
                  <w:marLeft w:val="0"/>
                  <w:marRight w:val="0"/>
                  <w:marTop w:val="0"/>
                  <w:marBottom w:val="0"/>
                  <w:divBdr>
                    <w:top w:val="none" w:sz="0" w:space="0" w:color="auto"/>
                    <w:left w:val="none" w:sz="0" w:space="0" w:color="auto"/>
                    <w:bottom w:val="none" w:sz="0" w:space="0" w:color="auto"/>
                    <w:right w:val="none" w:sz="0" w:space="0" w:color="auto"/>
                  </w:divBdr>
                </w:div>
              </w:divsChild>
            </w:div>
            <w:div w:id="862785782">
              <w:marLeft w:val="0"/>
              <w:marRight w:val="0"/>
              <w:marTop w:val="0"/>
              <w:marBottom w:val="0"/>
              <w:divBdr>
                <w:top w:val="none" w:sz="0" w:space="0" w:color="auto"/>
                <w:left w:val="none" w:sz="0" w:space="0" w:color="auto"/>
                <w:bottom w:val="none" w:sz="0" w:space="0" w:color="auto"/>
                <w:right w:val="none" w:sz="0" w:space="0" w:color="auto"/>
              </w:divBdr>
              <w:divsChild>
                <w:div w:id="206458843">
                  <w:marLeft w:val="0"/>
                  <w:marRight w:val="0"/>
                  <w:marTop w:val="0"/>
                  <w:marBottom w:val="0"/>
                  <w:divBdr>
                    <w:top w:val="none" w:sz="0" w:space="0" w:color="auto"/>
                    <w:left w:val="none" w:sz="0" w:space="0" w:color="auto"/>
                    <w:bottom w:val="none" w:sz="0" w:space="0" w:color="auto"/>
                    <w:right w:val="none" w:sz="0" w:space="0" w:color="auto"/>
                  </w:divBdr>
                  <w:divsChild>
                    <w:div w:id="6044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8353">
      <w:bodyDiv w:val="1"/>
      <w:marLeft w:val="0"/>
      <w:marRight w:val="0"/>
      <w:marTop w:val="0"/>
      <w:marBottom w:val="0"/>
      <w:divBdr>
        <w:top w:val="none" w:sz="0" w:space="0" w:color="auto"/>
        <w:left w:val="none" w:sz="0" w:space="0" w:color="auto"/>
        <w:bottom w:val="none" w:sz="0" w:space="0" w:color="auto"/>
        <w:right w:val="none" w:sz="0" w:space="0" w:color="auto"/>
      </w:divBdr>
      <w:divsChild>
        <w:div w:id="332687216">
          <w:marLeft w:val="0"/>
          <w:marRight w:val="0"/>
          <w:marTop w:val="0"/>
          <w:marBottom w:val="0"/>
          <w:divBdr>
            <w:top w:val="none" w:sz="0" w:space="0" w:color="auto"/>
            <w:left w:val="none" w:sz="0" w:space="0" w:color="auto"/>
            <w:bottom w:val="none" w:sz="0" w:space="0" w:color="auto"/>
            <w:right w:val="none" w:sz="0" w:space="0" w:color="auto"/>
          </w:divBdr>
        </w:div>
      </w:divsChild>
    </w:div>
    <w:div w:id="1898197055">
      <w:bodyDiv w:val="1"/>
      <w:marLeft w:val="0"/>
      <w:marRight w:val="0"/>
      <w:marTop w:val="0"/>
      <w:marBottom w:val="0"/>
      <w:divBdr>
        <w:top w:val="none" w:sz="0" w:space="0" w:color="auto"/>
        <w:left w:val="none" w:sz="0" w:space="0" w:color="auto"/>
        <w:bottom w:val="none" w:sz="0" w:space="0" w:color="auto"/>
        <w:right w:val="none" w:sz="0" w:space="0" w:color="auto"/>
      </w:divBdr>
      <w:divsChild>
        <w:div w:id="781414801">
          <w:marLeft w:val="0"/>
          <w:marRight w:val="0"/>
          <w:marTop w:val="0"/>
          <w:marBottom w:val="0"/>
          <w:divBdr>
            <w:top w:val="none" w:sz="0" w:space="0" w:color="auto"/>
            <w:left w:val="none" w:sz="0" w:space="0" w:color="auto"/>
            <w:bottom w:val="none" w:sz="0" w:space="0" w:color="auto"/>
            <w:right w:val="none" w:sz="0" w:space="0" w:color="auto"/>
          </w:divBdr>
          <w:divsChild>
            <w:div w:id="52705765">
              <w:marLeft w:val="0"/>
              <w:marRight w:val="0"/>
              <w:marTop w:val="0"/>
              <w:marBottom w:val="0"/>
              <w:divBdr>
                <w:top w:val="none" w:sz="0" w:space="0" w:color="auto"/>
                <w:left w:val="none" w:sz="0" w:space="0" w:color="auto"/>
                <w:bottom w:val="none" w:sz="0" w:space="0" w:color="auto"/>
                <w:right w:val="none" w:sz="0" w:space="0" w:color="auto"/>
              </w:divBdr>
              <w:divsChild>
                <w:div w:id="1374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5276">
          <w:marLeft w:val="0"/>
          <w:marRight w:val="0"/>
          <w:marTop w:val="0"/>
          <w:marBottom w:val="0"/>
          <w:divBdr>
            <w:top w:val="none" w:sz="0" w:space="0" w:color="auto"/>
            <w:left w:val="none" w:sz="0" w:space="0" w:color="auto"/>
            <w:bottom w:val="none" w:sz="0" w:space="0" w:color="auto"/>
            <w:right w:val="none" w:sz="0" w:space="0" w:color="auto"/>
          </w:divBdr>
          <w:divsChild>
            <w:div w:id="770129359">
              <w:marLeft w:val="0"/>
              <w:marRight w:val="0"/>
              <w:marTop w:val="0"/>
              <w:marBottom w:val="0"/>
              <w:divBdr>
                <w:top w:val="none" w:sz="0" w:space="0" w:color="auto"/>
                <w:left w:val="none" w:sz="0" w:space="0" w:color="auto"/>
                <w:bottom w:val="none" w:sz="0" w:space="0" w:color="auto"/>
                <w:right w:val="none" w:sz="0" w:space="0" w:color="auto"/>
              </w:divBdr>
              <w:divsChild>
                <w:div w:id="11418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7723">
          <w:marLeft w:val="0"/>
          <w:marRight w:val="0"/>
          <w:marTop w:val="0"/>
          <w:marBottom w:val="0"/>
          <w:divBdr>
            <w:top w:val="none" w:sz="0" w:space="0" w:color="auto"/>
            <w:left w:val="none" w:sz="0" w:space="0" w:color="auto"/>
            <w:bottom w:val="none" w:sz="0" w:space="0" w:color="auto"/>
            <w:right w:val="none" w:sz="0" w:space="0" w:color="auto"/>
          </w:divBdr>
          <w:divsChild>
            <w:div w:id="1807313336">
              <w:marLeft w:val="0"/>
              <w:marRight w:val="0"/>
              <w:marTop w:val="0"/>
              <w:marBottom w:val="0"/>
              <w:divBdr>
                <w:top w:val="none" w:sz="0" w:space="0" w:color="auto"/>
                <w:left w:val="none" w:sz="0" w:space="0" w:color="auto"/>
                <w:bottom w:val="none" w:sz="0" w:space="0" w:color="auto"/>
                <w:right w:val="none" w:sz="0" w:space="0" w:color="auto"/>
              </w:divBdr>
              <w:divsChild>
                <w:div w:id="353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5601">
          <w:marLeft w:val="0"/>
          <w:marRight w:val="0"/>
          <w:marTop w:val="0"/>
          <w:marBottom w:val="0"/>
          <w:divBdr>
            <w:top w:val="none" w:sz="0" w:space="0" w:color="auto"/>
            <w:left w:val="none" w:sz="0" w:space="0" w:color="auto"/>
            <w:bottom w:val="none" w:sz="0" w:space="0" w:color="auto"/>
            <w:right w:val="none" w:sz="0" w:space="0" w:color="auto"/>
          </w:divBdr>
          <w:divsChild>
            <w:div w:id="1125663464">
              <w:marLeft w:val="0"/>
              <w:marRight w:val="0"/>
              <w:marTop w:val="0"/>
              <w:marBottom w:val="0"/>
              <w:divBdr>
                <w:top w:val="none" w:sz="0" w:space="0" w:color="auto"/>
                <w:left w:val="none" w:sz="0" w:space="0" w:color="auto"/>
                <w:bottom w:val="none" w:sz="0" w:space="0" w:color="auto"/>
                <w:right w:val="none" w:sz="0" w:space="0" w:color="auto"/>
              </w:divBdr>
              <w:divsChild>
                <w:div w:id="12565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91182734&amp;pubNum=0000711&amp;originatingDoc=I8d4a2680701211e99eec849a2791c613&amp;refType=RP&amp;originationContext=document&amp;transitionType=DocumentItem&amp;contextData=(sc.History*oc.UserEnteredCitation)" TargetMode="External"/><Relationship Id="rId13" Type="http://schemas.openxmlformats.org/officeDocument/2006/relationships/hyperlink" Target="https://1.next.westlaw.com/Link/Document/FullText?findType=L&amp;pubNum=1000607&amp;cite=USFRER801&amp;originatingDoc=I8d4a2680701211e99eec849a2791c613&amp;refType=LQ&amp;originationContext=document&amp;transitionType=DocumentItem&amp;contextData=(sc.History*oc.UserEnteredCi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next.westlaw.com/Link/Document/FullText?findType=L&amp;pubNum=1000607&amp;cite=USFRER801&amp;originatingDoc=I8d4a2680701211e99eec849a2791c613&amp;refType=LQ&amp;originationContext=document&amp;transitionType=DocumentItem&amp;contextData=(sc.History*oc.UserEnteredC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Y&amp;serNum=1991182734&amp;originatingDoc=I8d4a2680701211e99eec849a2791c613&amp;refType=RP&amp;originationContext=document&amp;transitionType=DocumentItem&amp;contextData=(sc.History*oc.UserEnteredCit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next.westlaw.com/Link/Document/FullText?findType=L&amp;pubNum=1000468&amp;cite=GAST24-4-403&amp;originatingDoc=I8d4a2680701211e99eec849a2791c613&amp;refType=LQ&amp;originationContext=document&amp;transitionType=DocumentItem&amp;contextData=(sc.History*oc.UserEnteredCitation)" TargetMode="External"/><Relationship Id="rId4" Type="http://schemas.openxmlformats.org/officeDocument/2006/relationships/settings" Target="settings.xml"/><Relationship Id="rId9" Type="http://schemas.openxmlformats.org/officeDocument/2006/relationships/hyperlink" Target="https://1.next.westlaw.com/Link/Document/FullText?findType=Y&amp;serNum=1991182734&amp;pubNum=0000711&amp;originatingDoc=I8d4a2680701211e99eec849a2791c613&amp;refType=RP&amp;originationContext=document&amp;transitionType=DocumentItem&amp;contextData=(sc.History*oc.UserEnteredCit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ECA8-CEEE-4245-95A6-7709FB8A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2019-11-03T20:43:00Z</dcterms:created>
  <dcterms:modified xsi:type="dcterms:W3CDTF">2019-11-03T20:43:00Z</dcterms:modified>
</cp:coreProperties>
</file>