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9CB" w14:textId="4A148850" w:rsidR="00C71331" w:rsidRPr="00C71331" w:rsidRDefault="00A526B9" w:rsidP="00C71331">
      <w:pPr>
        <w:keepNext/>
        <w:spacing w:after="200" w:line="480" w:lineRule="auto"/>
        <w:jc w:val="center"/>
        <w:rPr>
          <w:rFonts w:eastAsia="Times New Roman"/>
          <w:b/>
          <w:color w:val="auto"/>
          <w:kern w:val="0"/>
          <w:sz w:val="28"/>
          <w:szCs w:val="28"/>
          <w14:ligatures w14:val="none"/>
        </w:rPr>
      </w:pPr>
      <w:bookmarkStart w:id="0" w:name="_Hlk144125644"/>
      <w:bookmarkStart w:id="1" w:name="_Hlk111203407"/>
      <w:r>
        <w:rPr>
          <w:rFonts w:eastAsia="Times New Roman"/>
          <w:b/>
          <w:color w:val="auto"/>
          <w:kern w:val="0"/>
          <w:sz w:val="28"/>
          <w:szCs w:val="28"/>
          <w14:ligatures w14:val="none"/>
        </w:rPr>
        <w:t>THE CONTINUING WITNESS RULE</w:t>
      </w:r>
      <w:r w:rsidR="00C71331" w:rsidRPr="00C71331">
        <w:rPr>
          <w:rFonts w:eastAsia="Times New Roman"/>
          <w:b/>
          <w:color w:val="auto"/>
          <w:kern w:val="0"/>
          <w:sz w:val="28"/>
          <w:szCs w:val="28"/>
          <w14:ligatures w14:val="none"/>
        </w:rPr>
        <w:t xml:space="preserve"> - EPISODE NOTES</w:t>
      </w:r>
      <w:r w:rsidR="004D4931">
        <w:rPr>
          <w:rFonts w:eastAsia="Times New Roman"/>
          <w:b/>
          <w:color w:val="auto"/>
          <w:kern w:val="0"/>
          <w:sz w:val="28"/>
          <w:szCs w:val="28"/>
          <w14:ligatures w14:val="none"/>
        </w:rPr>
        <w:t xml:space="preserve"> </w:t>
      </w:r>
    </w:p>
    <w:bookmarkEnd w:id="0"/>
    <w:p w14:paraId="4EF6EF63" w14:textId="170D770B"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Judge-Ment Podcast.  I am Wade Padgett</w:t>
      </w:r>
    </w:p>
    <w:p w14:paraId="724A7D1B" w14:textId="352256E9" w:rsid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And I am</w:t>
      </w:r>
      <w:r w:rsidR="000B158F">
        <w:rPr>
          <w:rFonts w:eastAsia="Times New Roman"/>
          <w:bCs/>
          <w:i/>
          <w:iCs/>
          <w:color w:val="auto"/>
          <w:kern w:val="0"/>
          <w:sz w:val="28"/>
          <w:szCs w:val="28"/>
          <w14:ligatures w14:val="none"/>
        </w:rPr>
        <w:t xml:space="preserve"> still</w:t>
      </w:r>
      <w:r w:rsidRPr="00C71331">
        <w:rPr>
          <w:rFonts w:eastAsia="Times New Roman"/>
          <w:bCs/>
          <w:i/>
          <w:iCs/>
          <w:color w:val="auto"/>
          <w:kern w:val="0"/>
          <w:sz w:val="28"/>
          <w:szCs w:val="28"/>
          <w14:ligatures w14:val="none"/>
        </w:rPr>
        <w:t xml:space="preserve"> Tain Kell. </w:t>
      </w:r>
    </w:p>
    <w:p w14:paraId="2514A0C8" w14:textId="3CEA7B33" w:rsidR="00776F4B" w:rsidRDefault="00776F4B"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Tain,</w:t>
      </w:r>
      <w:r w:rsidR="00A526B9">
        <w:rPr>
          <w:rFonts w:eastAsia="Times New Roman"/>
          <w:bCs/>
          <w:color w:val="auto"/>
          <w:kern w:val="0"/>
          <w:sz w:val="28"/>
          <w:szCs w:val="28"/>
          <w14:ligatures w14:val="none"/>
        </w:rPr>
        <w:t xml:space="preserve"> sometimes we record episodes based upon a statute or a case</w:t>
      </w:r>
    </w:p>
    <w:p w14:paraId="17C994E9" w14:textId="5A50EEDF" w:rsidR="00776F4B" w:rsidRDefault="00A526B9"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Ok.  I agree.  Are we doing that today?</w:t>
      </w:r>
    </w:p>
    <w:p w14:paraId="1809A431" w14:textId="038DD71D" w:rsidR="00A526B9" w:rsidRPr="00A526B9" w:rsidRDefault="00A526B9"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Nope.  Today, we are discussing a topic that judges and lawyers who try cases before a jury struggle with from time to time</w:t>
      </w:r>
    </w:p>
    <w:p w14:paraId="7613C4DC" w14:textId="0E41C711" w:rsidR="007C078D" w:rsidRDefault="00A526B9"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But this topic will not be found in any statute – that’s for sure</w:t>
      </w:r>
    </w:p>
    <w:p w14:paraId="50A14273" w14:textId="6593A632" w:rsidR="007C078D" w:rsidRDefault="00A526B9"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That’s right.  Today we are going to discuss the “Continuing Witness Rule” which is a </w:t>
      </w:r>
      <w:r w:rsidR="00ED1CC6">
        <w:rPr>
          <w:rFonts w:eastAsia="Times New Roman"/>
          <w:bCs/>
          <w:color w:val="auto"/>
          <w:kern w:val="0"/>
          <w:sz w:val="28"/>
          <w:szCs w:val="28"/>
          <w14:ligatures w14:val="none"/>
        </w:rPr>
        <w:t>Rule</w:t>
      </w:r>
      <w:r>
        <w:rPr>
          <w:rFonts w:eastAsia="Times New Roman"/>
          <w:bCs/>
          <w:color w:val="auto"/>
          <w:kern w:val="0"/>
          <w:sz w:val="28"/>
          <w:szCs w:val="28"/>
          <w14:ligatures w14:val="none"/>
        </w:rPr>
        <w:t xml:space="preserve"> that was formed from case law over many years</w:t>
      </w:r>
    </w:p>
    <w:p w14:paraId="1C9567F7" w14:textId="55E029A3" w:rsidR="007C078D" w:rsidRDefault="00A526B9"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I am excited to report that the Continuing Witness rule applies to both criminal and civil cases.  Man, I miss trying civil cases…</w:t>
      </w:r>
    </w:p>
    <w:p w14:paraId="3D2EC3CE" w14:textId="38308253" w:rsidR="00B3052C" w:rsidRPr="00B3052C" w:rsidRDefault="00EF7771" w:rsidP="0003237A">
      <w:pPr>
        <w:spacing w:after="200" w:line="480" w:lineRule="auto"/>
        <w:rPr>
          <w:rFonts w:eastAsia="Times New Roman"/>
          <w:bCs/>
          <w:color w:val="auto"/>
          <w:kern w:val="0"/>
          <w:sz w:val="28"/>
          <w:szCs w:val="28"/>
          <w14:ligatures w14:val="none"/>
        </w:rPr>
      </w:pPr>
      <w:r>
        <w:rPr>
          <w:rFonts w:eastAsia="Times New Roman"/>
          <w:bCs/>
          <w:iCs/>
          <w:color w:val="auto"/>
          <w:kern w:val="0"/>
          <w:sz w:val="28"/>
          <w:szCs w:val="28"/>
          <w14:ligatures w14:val="none"/>
        </w:rPr>
        <w:t xml:space="preserve">We have developed a chart that we have incorporated into the trial outlines that we provide to judges and that we will append to our episode notes.  </w:t>
      </w:r>
      <w:r w:rsidR="00B3052C">
        <w:rPr>
          <w:rFonts w:eastAsia="Times New Roman"/>
          <w:bCs/>
          <w:color w:val="auto"/>
          <w:kern w:val="0"/>
          <w:sz w:val="28"/>
          <w:szCs w:val="28"/>
          <w14:ligatures w14:val="none"/>
        </w:rPr>
        <w:t>You can find these episode notes on our webpage – goodjudgepod.com</w:t>
      </w:r>
    </w:p>
    <w:p w14:paraId="014B72EA" w14:textId="6E415F3A" w:rsidR="00B3052C" w:rsidRPr="00B3052C" w:rsidRDefault="00104359" w:rsidP="00C71331">
      <w:pPr>
        <w:spacing w:after="200" w:line="480" w:lineRule="auto"/>
        <w:rPr>
          <w:rFonts w:eastAsia="Times New Roman"/>
          <w:bCs/>
          <w:color w:val="auto"/>
          <w:kern w:val="0"/>
          <w:sz w:val="28"/>
          <w:szCs w:val="28"/>
          <w14:ligatures w14:val="none"/>
        </w:rPr>
      </w:pPr>
      <w:r>
        <w:rPr>
          <w:rFonts w:eastAsia="Times New Roman"/>
          <w:bCs/>
          <w:i/>
          <w:iCs/>
          <w:color w:val="auto"/>
          <w:kern w:val="0"/>
          <w:sz w:val="28"/>
          <w:szCs w:val="28"/>
          <w14:ligatures w14:val="none"/>
        </w:rPr>
        <w:lastRenderedPageBreak/>
        <w:t xml:space="preserve">  If </w:t>
      </w:r>
      <w:r w:rsidRPr="00C50CDC">
        <w:rPr>
          <w:rFonts w:eastAsia="Times New Roman"/>
          <w:bCs/>
          <w:i/>
          <w:iCs/>
          <w:color w:val="auto"/>
          <w:kern w:val="0"/>
          <w:sz w:val="28"/>
          <w:szCs w:val="28"/>
          <w:u w:val="single"/>
          <w14:ligatures w14:val="none"/>
        </w:rPr>
        <w:t>you</w:t>
      </w:r>
      <w:r>
        <w:rPr>
          <w:rFonts w:eastAsia="Times New Roman"/>
          <w:bCs/>
          <w:i/>
          <w:iCs/>
          <w:color w:val="auto"/>
          <w:kern w:val="0"/>
          <w:sz w:val="28"/>
          <w:szCs w:val="28"/>
          <w14:ligatures w14:val="none"/>
        </w:rPr>
        <w:t xml:space="preserve"> have </w:t>
      </w:r>
      <w:r w:rsidR="0003237A">
        <w:rPr>
          <w:rFonts w:eastAsia="Times New Roman"/>
          <w:bCs/>
          <w:i/>
          <w:iCs/>
          <w:color w:val="auto"/>
          <w:kern w:val="0"/>
          <w:sz w:val="28"/>
          <w:szCs w:val="28"/>
          <w14:ligatures w14:val="none"/>
        </w:rPr>
        <w:t>podcast topic ideas, send them to us at</w:t>
      </w:r>
      <w:r w:rsidR="00326B9C">
        <w:rPr>
          <w:rFonts w:eastAsia="Times New Roman"/>
          <w:bCs/>
          <w:color w:val="auto"/>
          <w:kern w:val="0"/>
          <w:sz w:val="28"/>
          <w:szCs w:val="28"/>
          <w14:ligatures w14:val="none"/>
        </w:rPr>
        <w:t xml:space="preserve"> </w:t>
      </w:r>
      <w:r w:rsidR="00C50CDC" w:rsidRPr="00C71331">
        <w:rPr>
          <w:rFonts w:eastAsia="Times New Roman"/>
          <w:bCs/>
          <w:i/>
          <w:iCs/>
          <w:color w:val="auto"/>
          <w:kern w:val="0"/>
          <w:sz w:val="28"/>
          <w:szCs w:val="28"/>
          <w14:ligatures w14:val="none"/>
        </w:rPr>
        <w:t>goodjudgepod@gmail.com</w:t>
      </w:r>
      <w:r w:rsidR="00C50CDC">
        <w:rPr>
          <w:rFonts w:eastAsia="Times New Roman"/>
          <w:bCs/>
          <w:i/>
          <w:iCs/>
          <w:color w:val="auto"/>
          <w:kern w:val="0"/>
          <w:sz w:val="28"/>
          <w:szCs w:val="28"/>
          <w14:ligatures w14:val="none"/>
        </w:rPr>
        <w:t xml:space="preserve">.  </w:t>
      </w:r>
      <w:r w:rsidR="00C71331" w:rsidRPr="00C71331">
        <w:rPr>
          <w:rFonts w:eastAsia="Times New Roman"/>
          <w:bCs/>
          <w:i/>
          <w:iCs/>
          <w:color w:val="auto"/>
          <w:kern w:val="0"/>
          <w:sz w:val="28"/>
          <w:szCs w:val="28"/>
          <w14:ligatures w14:val="none"/>
        </w:rPr>
        <w:t>With all of that being said, let’s talk</w:t>
      </w:r>
      <w:r w:rsidR="00EF7771">
        <w:rPr>
          <w:rFonts w:eastAsia="Times New Roman"/>
          <w:bCs/>
          <w:i/>
          <w:iCs/>
          <w:color w:val="auto"/>
          <w:kern w:val="0"/>
          <w:sz w:val="28"/>
          <w:szCs w:val="28"/>
          <w14:ligatures w14:val="none"/>
        </w:rPr>
        <w:t xml:space="preserve"> about the Continuing Witness Rule</w:t>
      </w:r>
    </w:p>
    <w:p w14:paraId="255A5DB4" w14:textId="77777777" w:rsidR="00C71331" w:rsidRPr="00C71331" w:rsidRDefault="00000000"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6419F390">
          <v:rect id="_x0000_i1025" style="width:0;height:1.5pt" o:hralign="center" o:hrstd="t" o:hr="t" fillcolor="#a0a0a0" stroked="f"/>
        </w:pict>
      </w:r>
    </w:p>
    <w:p w14:paraId="615CE842" w14:textId="497AE364" w:rsidR="00C87635" w:rsidRDefault="00C87635" w:rsidP="00C713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Before we get into the weeds of what the Continuing Witness Rule allows to go out </w:t>
      </w:r>
      <w:r w:rsidR="00ED1CC6">
        <w:rPr>
          <w:rFonts w:eastAsia="Times New Roman"/>
          <w:bCs/>
          <w:color w:val="auto"/>
          <w:kern w:val="0"/>
          <w:sz w:val="28"/>
          <w:szCs w:val="28"/>
          <w14:ligatures w14:val="none"/>
        </w:rPr>
        <w:t>with</w:t>
      </w:r>
      <w:r>
        <w:rPr>
          <w:rFonts w:eastAsia="Times New Roman"/>
          <w:bCs/>
          <w:color w:val="auto"/>
          <w:kern w:val="0"/>
          <w:sz w:val="28"/>
          <w:szCs w:val="28"/>
          <w14:ligatures w14:val="none"/>
        </w:rPr>
        <w:t xml:space="preserve"> the jury, we need to spend a moment discussing exactly what the rule is and what evil it was designed to protect against</w:t>
      </w:r>
    </w:p>
    <w:p w14:paraId="2FAAE6A2" w14:textId="695A3F71" w:rsidR="00C87635" w:rsidRDefault="00C87635" w:rsidP="00C87635">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Jurors are told that they are to consider all of the evidence presented during the trial when making their verdict</w:t>
      </w:r>
    </w:p>
    <w:p w14:paraId="3F19C16F" w14:textId="0A7257BC" w:rsidR="00C87635" w:rsidRDefault="00C87635" w:rsidP="00C87635">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witness testimony, any exhibits</w:t>
      </w:r>
      <w:r w:rsidR="00ED1CC6">
        <w:rPr>
          <w:rFonts w:eastAsia="Times New Roman"/>
          <w:bCs/>
          <w:color w:val="auto"/>
          <w:kern w:val="0"/>
          <w:sz w:val="28"/>
          <w:szCs w:val="28"/>
          <w14:ligatures w14:val="none"/>
        </w:rPr>
        <w:t>,</w:t>
      </w:r>
      <w:r>
        <w:rPr>
          <w:rFonts w:eastAsia="Times New Roman"/>
          <w:bCs/>
          <w:color w:val="auto"/>
          <w:kern w:val="0"/>
          <w:sz w:val="28"/>
          <w:szCs w:val="28"/>
          <w14:ligatures w14:val="none"/>
        </w:rPr>
        <w:t xml:space="preserve"> and any other “evidence” that might be admitted</w:t>
      </w:r>
    </w:p>
    <w:p w14:paraId="59232C00" w14:textId="5CE80387" w:rsidR="006E5153" w:rsidRDefault="006E5153" w:rsidP="006E5153">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We specifically instruct the jury to consider all of the evidence and not to jump to conclusions until they have heard all of the evidence</w:t>
      </w:r>
    </w:p>
    <w:p w14:paraId="59A0425B" w14:textId="3C9AA292" w:rsidR="006E5153" w:rsidRDefault="006E5153" w:rsidP="006E5153">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That means they should consider not only the surveillance video from the convenience store, they should consider the witness testimony and everything else that was presented</w:t>
      </w:r>
    </w:p>
    <w:p w14:paraId="3826D30B" w14:textId="59D22AB2" w:rsidR="006E5153" w:rsidRDefault="006E5153" w:rsidP="009A68F9">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Back in the jury room, the jurors are not going to be able to replay the testimony of a witness</w:t>
      </w:r>
      <w:r w:rsidR="009A68F9">
        <w:rPr>
          <w:rFonts w:eastAsia="Times New Roman"/>
          <w:bCs/>
          <w:color w:val="auto"/>
          <w:kern w:val="0"/>
          <w:sz w:val="28"/>
          <w:szCs w:val="28"/>
          <w14:ligatures w14:val="none"/>
        </w:rPr>
        <w:t xml:space="preserve"> – they may have notes about what a witness </w:t>
      </w:r>
      <w:r w:rsidR="009A68F9">
        <w:rPr>
          <w:rFonts w:eastAsia="Times New Roman"/>
          <w:bCs/>
          <w:color w:val="auto"/>
          <w:kern w:val="0"/>
          <w:sz w:val="28"/>
          <w:szCs w:val="28"/>
          <w14:ligatures w14:val="none"/>
        </w:rPr>
        <w:lastRenderedPageBreak/>
        <w:t>said that they took during the testimony – but they do not get to replay the testimony again and again</w:t>
      </w:r>
    </w:p>
    <w:p w14:paraId="5AA9F6F1" w14:textId="6C598671" w:rsidR="009A68F9" w:rsidRDefault="009A68F9"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We do not want the jurors doing that because they must consider non-verbal things like demeanor and other factors that determine credibility of the witness’ testimony</w:t>
      </w:r>
    </w:p>
    <w:p w14:paraId="4178DC36" w14:textId="0E247FC5" w:rsidR="009A68F9" w:rsidRDefault="009A68F9" w:rsidP="007624DE">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That includes cross-examination and what the witness said </w:t>
      </w:r>
      <w:r w:rsidR="007624DE">
        <w:rPr>
          <w:rFonts w:eastAsia="Times New Roman"/>
          <w:bCs/>
          <w:color w:val="auto"/>
          <w:kern w:val="0"/>
          <w:sz w:val="28"/>
          <w:szCs w:val="28"/>
          <w14:ligatures w14:val="none"/>
        </w:rPr>
        <w:t>during cross-examination</w:t>
      </w:r>
    </w:p>
    <w:p w14:paraId="68EDE03E" w14:textId="4F375776" w:rsidR="009A68F9" w:rsidRDefault="009A68F9"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3942B570">
          <v:rect id="_x0000_i1190" style="width:0;height:1.5pt" o:hralign="center" o:hrstd="t" o:hr="t" fillcolor="#a0a0a0" stroked="f"/>
        </w:pict>
      </w:r>
    </w:p>
    <w:p w14:paraId="773CC478" w14:textId="4F2D3946" w:rsidR="009A68F9" w:rsidRDefault="009A68F9"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Then we turn to the exhibits that were admitted.  The photographs, documents, the ax handle or the firearm</w:t>
      </w:r>
    </w:p>
    <w:p w14:paraId="3B16AC3C" w14:textId="652725F6" w:rsidR="00C87635" w:rsidRDefault="001054CD" w:rsidP="001054CD">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As a </w:t>
      </w:r>
      <w:r w:rsidR="00ED1CC6">
        <w:rPr>
          <w:rFonts w:eastAsia="Times New Roman"/>
          <w:bCs/>
          <w:color w:val="auto"/>
          <w:kern w:val="0"/>
          <w:sz w:val="28"/>
          <w:szCs w:val="28"/>
          <w14:ligatures w14:val="none"/>
        </w:rPr>
        <w:t>general</w:t>
      </w:r>
      <w:r>
        <w:rPr>
          <w:rFonts w:eastAsia="Times New Roman"/>
          <w:bCs/>
          <w:color w:val="auto"/>
          <w:kern w:val="0"/>
          <w:sz w:val="28"/>
          <w:szCs w:val="28"/>
          <w14:ligatures w14:val="none"/>
        </w:rPr>
        <w:t xml:space="preserve"> rule, the exhibits admitted during the trial go out with the jurors into the jury room during their deliberations</w:t>
      </w:r>
    </w:p>
    <w:p w14:paraId="0156FF1C" w14:textId="5545BE7C" w:rsidR="009A68F9" w:rsidRDefault="009A68F9"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Jurors can do anything they want with the evidence that goes out into the jury room</w:t>
      </w:r>
      <w:r w:rsidR="007624DE">
        <w:rPr>
          <w:rFonts w:eastAsia="Times New Roman"/>
          <w:bCs/>
          <w:color w:val="auto"/>
          <w:kern w:val="0"/>
          <w:sz w:val="28"/>
          <w:szCs w:val="28"/>
          <w14:ligatures w14:val="none"/>
        </w:rPr>
        <w:t xml:space="preserve"> – whether they place undue importance on one piece of evidence or one witness’ testimony is within their </w:t>
      </w:r>
      <w:r w:rsidR="00324543">
        <w:rPr>
          <w:rFonts w:eastAsia="Times New Roman"/>
          <w:bCs/>
          <w:color w:val="auto"/>
          <w:kern w:val="0"/>
          <w:sz w:val="28"/>
          <w:szCs w:val="28"/>
          <w14:ligatures w14:val="none"/>
        </w:rPr>
        <w:t>purview</w:t>
      </w:r>
      <w:r w:rsidR="007624DE">
        <w:rPr>
          <w:rFonts w:eastAsia="Times New Roman"/>
          <w:bCs/>
          <w:color w:val="auto"/>
          <w:kern w:val="0"/>
          <w:sz w:val="28"/>
          <w:szCs w:val="28"/>
          <w14:ligatures w14:val="none"/>
        </w:rPr>
        <w:t xml:space="preserve">.  </w:t>
      </w:r>
    </w:p>
    <w:p w14:paraId="0FB7D1A3" w14:textId="6FA96B5E" w:rsidR="007624DE" w:rsidRDefault="007624DE" w:rsidP="00324543">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We tell them not do place un</w:t>
      </w:r>
      <w:r w:rsidR="00324543">
        <w:rPr>
          <w:rFonts w:eastAsia="Times New Roman"/>
          <w:bCs/>
          <w:color w:val="auto"/>
          <w:kern w:val="0"/>
          <w:sz w:val="28"/>
          <w:szCs w:val="28"/>
          <w14:ligatures w14:val="none"/>
        </w:rPr>
        <w:t>due emphasis on any single piece of evidence but we allow them to reach their verdict in whatever manner they choose</w:t>
      </w:r>
    </w:p>
    <w:p w14:paraId="76DCCD1D" w14:textId="17D35434" w:rsidR="009A68F9" w:rsidRDefault="009A68F9" w:rsidP="00324543">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As an aside – to our judge listeners – if you have a firearm and you also have ammo – let’s not send out live ammo that fits that weapon </w:t>
      </w:r>
      <w:r w:rsidR="00ED1CC6">
        <w:rPr>
          <w:rFonts w:eastAsia="Times New Roman"/>
          <w:bCs/>
          <w:color w:val="auto"/>
          <w:kern w:val="0"/>
          <w:sz w:val="28"/>
          <w:szCs w:val="28"/>
          <w14:ligatures w14:val="none"/>
        </w:rPr>
        <w:t>with</w:t>
      </w:r>
      <w:r>
        <w:rPr>
          <w:rFonts w:eastAsia="Times New Roman"/>
          <w:bCs/>
          <w:color w:val="auto"/>
          <w:kern w:val="0"/>
          <w:sz w:val="28"/>
          <w:szCs w:val="28"/>
          <w14:ligatures w14:val="none"/>
        </w:rPr>
        <w:t xml:space="preserve"> the jury please – have you seen </w:t>
      </w:r>
      <w:r w:rsidRPr="009A68F9">
        <w:rPr>
          <w:rFonts w:eastAsia="Times New Roman"/>
          <w:bCs/>
          <w:i/>
          <w:iCs/>
          <w:color w:val="auto"/>
          <w:kern w:val="0"/>
          <w:sz w:val="28"/>
          <w:szCs w:val="28"/>
          <w14:ligatures w14:val="none"/>
        </w:rPr>
        <w:t>12 Angry Men</w:t>
      </w:r>
      <w:r>
        <w:rPr>
          <w:rFonts w:eastAsia="Times New Roman"/>
          <w:bCs/>
          <w:color w:val="auto"/>
          <w:kern w:val="0"/>
          <w:sz w:val="28"/>
          <w:szCs w:val="28"/>
          <w14:ligatures w14:val="none"/>
        </w:rPr>
        <w:t>?</w:t>
      </w:r>
    </w:p>
    <w:p w14:paraId="0C9B6212" w14:textId="579C662A" w:rsidR="00324543" w:rsidRDefault="00324543" w:rsidP="00324543">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5CEEFE3E">
          <v:rect id="_x0000_i1191" style="width:0;height:1.5pt" o:hralign="center" o:hrstd="t" o:hr="t" fillcolor="#a0a0a0" stroked="f"/>
        </w:pict>
      </w:r>
    </w:p>
    <w:p w14:paraId="0E874177" w14:textId="04F8F51F" w:rsidR="009A68F9" w:rsidRDefault="009A68F9"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Back to the Continuing Witness Rule</w:t>
      </w:r>
    </w:p>
    <w:p w14:paraId="01C5C603" w14:textId="54C372F5" w:rsidR="009A68F9" w:rsidRDefault="007624DE" w:rsidP="007624DE">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We said that </w:t>
      </w:r>
      <w:r>
        <w:rPr>
          <w:rFonts w:eastAsia="Times New Roman"/>
          <w:bCs/>
          <w:i/>
          <w:iCs/>
          <w:color w:val="auto"/>
          <w:kern w:val="0"/>
          <w:sz w:val="28"/>
          <w:szCs w:val="28"/>
          <w14:ligatures w14:val="none"/>
        </w:rPr>
        <w:t>most</w:t>
      </w:r>
      <w:r>
        <w:rPr>
          <w:rFonts w:eastAsia="Times New Roman"/>
          <w:bCs/>
          <w:color w:val="auto"/>
          <w:kern w:val="0"/>
          <w:sz w:val="28"/>
          <w:szCs w:val="28"/>
          <w14:ligatures w14:val="none"/>
        </w:rPr>
        <w:t xml:space="preserve"> of the exhibits go out with the jury.  There is an important exception that we call the Continuing Witness Rule</w:t>
      </w:r>
    </w:p>
    <w:p w14:paraId="6EE1713A" w14:textId="0892F68F" w:rsidR="006E5153" w:rsidRDefault="007624DE" w:rsidP="006E5153">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If an exhibit is admitted that </w:t>
      </w:r>
      <w:r w:rsidR="006E5153">
        <w:rPr>
          <w:rFonts w:eastAsia="Times New Roman"/>
          <w:bCs/>
          <w:color w:val="auto"/>
          <w:kern w:val="0"/>
          <w:sz w:val="28"/>
          <w:szCs w:val="28"/>
          <w14:ligatures w14:val="none"/>
        </w:rPr>
        <w:t xml:space="preserve">will “continue to testify” in the jury room, that exhibit does not go out with the jury </w:t>
      </w:r>
    </w:p>
    <w:p w14:paraId="7A2BC71F" w14:textId="3C6EA30C" w:rsidR="006E5153" w:rsidRDefault="006E5153" w:rsidP="006E5153">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The idea is that all evidence should be considered and no single piece of evidence should predominate the deliberations</w:t>
      </w:r>
    </w:p>
    <w:p w14:paraId="4D2AE19B" w14:textId="373EBC2D" w:rsidR="007624DE" w:rsidRDefault="007624DE" w:rsidP="007624DE">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If the exhibit can “continue to testify” in the jury room, it over-emphasizes that exhibit over all of the other testimony, etc. that was heard only once</w:t>
      </w:r>
    </w:p>
    <w:p w14:paraId="424BF2AE" w14:textId="1ECDE9EB" w:rsidR="00324543" w:rsidRDefault="00324543" w:rsidP="007624DE">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pict w14:anchorId="53C09982">
          <v:rect id="_x0000_i1192" style="width:0;height:1.5pt" o:hralign="center" o:hrstd="t" o:hr="t" fillcolor="#a0a0a0" stroked="f"/>
        </w:pict>
      </w:r>
    </w:p>
    <w:p w14:paraId="26720D71" w14:textId="66A64B6A" w:rsidR="00324543" w:rsidRDefault="00324543" w:rsidP="00C713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Understand that we are not discussing an evidence rule and the Continuing Witness Rule has absolutely no impact on whether any exhibit will be admitted during the trial</w:t>
      </w:r>
    </w:p>
    <w:p w14:paraId="100B4156" w14:textId="1E981E89" w:rsidR="00324543" w:rsidRDefault="00324543" w:rsidP="003B17E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That may seem to be an obvious point but there are appellate cases in Georgia where </w:t>
      </w:r>
      <w:r w:rsidR="003B17E0">
        <w:rPr>
          <w:rFonts w:eastAsia="Times New Roman"/>
          <w:bCs/>
          <w:color w:val="auto"/>
          <w:kern w:val="0"/>
          <w:sz w:val="28"/>
          <w:szCs w:val="28"/>
          <w14:ligatures w14:val="none"/>
        </w:rPr>
        <w:t xml:space="preserve">a party argued that evidence should not have been </w:t>
      </w:r>
      <w:r w:rsidR="003B17E0">
        <w:rPr>
          <w:rFonts w:eastAsia="Times New Roman"/>
          <w:b/>
          <w:i/>
          <w:iCs/>
          <w:color w:val="auto"/>
          <w:kern w:val="0"/>
          <w:sz w:val="28"/>
          <w:szCs w:val="28"/>
          <w14:ligatures w14:val="none"/>
        </w:rPr>
        <w:t>admitted</w:t>
      </w:r>
      <w:r w:rsidR="003B17E0">
        <w:rPr>
          <w:rFonts w:eastAsia="Times New Roman"/>
          <w:bCs/>
          <w:color w:val="auto"/>
          <w:kern w:val="0"/>
          <w:sz w:val="28"/>
          <w:szCs w:val="28"/>
          <w14:ligatures w14:val="none"/>
        </w:rPr>
        <w:t xml:space="preserve"> because of the Continuing Witness Rule – that is not a thing and do not argue that – ever</w:t>
      </w:r>
    </w:p>
    <w:p w14:paraId="15456917" w14:textId="5867C49C" w:rsidR="003B17E0" w:rsidRDefault="003B17E0" w:rsidP="003B17E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Continuing Witness Rule applies to exhibits that were admitted during the trial</w:t>
      </w:r>
    </w:p>
    <w:p w14:paraId="18437293" w14:textId="109BDF02" w:rsidR="003B17E0" w:rsidRDefault="003B17E0" w:rsidP="003B17E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It only comes into play when the court is considering which of the exhibits go out with the jury</w:t>
      </w:r>
    </w:p>
    <w:p w14:paraId="55FB9AB3" w14:textId="4D653D4F" w:rsidR="00D81984" w:rsidRDefault="00D81984" w:rsidP="00D8198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As we mentioned at the beginning of this episode, the Continuing Witness Rule applies to both criminal and civil cases</w:t>
      </w:r>
    </w:p>
    <w:p w14:paraId="5AD5BEF1" w14:textId="08251C62" w:rsidR="003B17E0" w:rsidRPr="003B17E0" w:rsidRDefault="003B17E0" w:rsidP="003B17E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144DCFAF">
          <v:rect id="_x0000_i1193" style="width:0;height:1.5pt" o:hralign="center" o:hrstd="t" o:hr="t" fillcolor="#a0a0a0" stroked="f"/>
        </w:pict>
      </w:r>
    </w:p>
    <w:p w14:paraId="3F41E375" w14:textId="5C93A01B" w:rsidR="00EF7771" w:rsidRDefault="00C87635" w:rsidP="00C713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oldest reference I can find to the Continuing Witness Rule dates back to 1905.</w:t>
      </w:r>
      <w:r>
        <w:rPr>
          <w:rStyle w:val="EndnoteReference"/>
          <w:rFonts w:eastAsia="Times New Roman"/>
          <w:bCs/>
          <w:kern w:val="0"/>
          <w:szCs w:val="28"/>
          <w14:ligatures w14:val="none"/>
        </w:rPr>
        <w:endnoteReference w:id="1"/>
      </w:r>
    </w:p>
    <w:p w14:paraId="32DD0B71" w14:textId="667011F7" w:rsidR="003B17E0" w:rsidRDefault="003B17E0" w:rsidP="003B17E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I cannot find any statute which lays out the parameters of the Continuing Witness Rule – there are plenty of cases which attempt to define the Rule but there is no statutory authority for this Rule</w:t>
      </w:r>
    </w:p>
    <w:p w14:paraId="4F31A924" w14:textId="7E2EAB53" w:rsidR="00636405" w:rsidRDefault="00636405" w:rsidP="00636405">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case law defines the Continuing Witness Rule as:</w:t>
      </w:r>
    </w:p>
    <w:p w14:paraId="56AA5E7E" w14:textId="7ED28654" w:rsidR="00636405" w:rsidRDefault="00636405" w:rsidP="00636405">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w:t>
      </w:r>
      <w:r w:rsidRPr="00636405">
        <w:rPr>
          <w:rFonts w:eastAsia="Times New Roman"/>
          <w:bCs/>
          <w:color w:val="auto"/>
          <w:kern w:val="0"/>
          <w:sz w:val="28"/>
          <w:szCs w:val="28"/>
          <w14:ligatures w14:val="none"/>
        </w:rPr>
        <w:t>the continuing witness objection is based on the notion that written testimony is heard by the jury when read from the witness stand just as oral testimony is heard when given from the witness stand. But, it is unfair and places undue emphasis on written testimony for the writing to go out with the jury to be read again during deliberations, while oral testimony is received but once.</w:t>
      </w:r>
      <w:r>
        <w:rPr>
          <w:rFonts w:eastAsia="Times New Roman"/>
          <w:bCs/>
          <w:color w:val="auto"/>
          <w:kern w:val="0"/>
          <w:sz w:val="28"/>
          <w:szCs w:val="28"/>
          <w14:ligatures w14:val="none"/>
        </w:rPr>
        <w:t>”</w:t>
      </w:r>
      <w:r>
        <w:rPr>
          <w:rStyle w:val="EndnoteReference"/>
          <w:rFonts w:eastAsia="Times New Roman"/>
          <w:bCs/>
          <w:kern w:val="0"/>
          <w:szCs w:val="28"/>
          <w14:ligatures w14:val="none"/>
        </w:rPr>
        <w:endnoteReference w:id="2"/>
      </w:r>
    </w:p>
    <w:p w14:paraId="754DAFB0" w14:textId="2139BE2F" w:rsidR="00C71331" w:rsidRPr="00C71331" w:rsidRDefault="00000000" w:rsidP="00C71331">
      <w:pPr>
        <w:spacing w:before="120" w:after="240" w:line="480" w:lineRule="auto"/>
        <w:ind w:right="720"/>
        <w:rPr>
          <w:rFonts w:eastAsia="Arial" w:cstheme="minorBidi"/>
          <w:bCs/>
          <w:color w:val="auto"/>
          <w:kern w:val="0"/>
          <w14:ligatures w14:val="none"/>
        </w:rPr>
      </w:pPr>
      <w:r>
        <w:rPr>
          <w:rFonts w:eastAsia="Times New Roman"/>
          <w:bCs/>
          <w:color w:val="auto"/>
          <w:kern w:val="0"/>
          <w:sz w:val="28"/>
          <w:szCs w:val="28"/>
          <w14:ligatures w14:val="none"/>
        </w:rPr>
        <w:pict w14:anchorId="52A1C868">
          <v:rect id="_x0000_i1026" style="width:0;height:1.5pt" o:hralign="center" o:hrstd="t" o:hr="t" fillcolor="#a0a0a0" stroked="f"/>
        </w:pict>
      </w:r>
    </w:p>
    <w:p w14:paraId="229FB63B" w14:textId="0F211BA1" w:rsidR="00D81984" w:rsidRDefault="00D81984" w:rsidP="00AB0F8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So we understand that the goal of the Rule is to prevent any exhibit from continuing to testify in the jury room</w:t>
      </w:r>
    </w:p>
    <w:p w14:paraId="4A4B9B00" w14:textId="77777777" w:rsidR="00D81984" w:rsidRDefault="00D81984" w:rsidP="00D81984">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Now, we know that exhibits are generally inanimate objects and they do not literally “testify”</w:t>
      </w:r>
    </w:p>
    <w:p w14:paraId="24971DBC" w14:textId="072193E5" w:rsidR="00D81984" w:rsidRDefault="00D81984" w:rsidP="00D81984">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 thing we are tying to prevent is the ability of an exhibit to provide what amounts to testimony – a description of what happened or a </w:t>
      </w:r>
      <w:r w:rsidR="00801AB0">
        <w:rPr>
          <w:rFonts w:eastAsia="Arial"/>
          <w:bCs/>
          <w:color w:val="auto"/>
          <w:kern w:val="0"/>
          <w:sz w:val="28"/>
          <w:szCs w:val="28"/>
          <w14:ligatures w14:val="none"/>
        </w:rPr>
        <w:t xml:space="preserve">recitation of a </w:t>
      </w:r>
      <w:r w:rsidR="00801AB0">
        <w:rPr>
          <w:rFonts w:eastAsia="Arial"/>
          <w:bCs/>
          <w:color w:val="auto"/>
          <w:kern w:val="0"/>
          <w:sz w:val="28"/>
          <w:szCs w:val="28"/>
          <w14:ligatures w14:val="none"/>
        </w:rPr>
        <w:lastRenderedPageBreak/>
        <w:t>witness’ live testimony</w:t>
      </w:r>
      <w:r>
        <w:rPr>
          <w:rFonts w:eastAsia="Arial"/>
          <w:bCs/>
          <w:color w:val="auto"/>
          <w:kern w:val="0"/>
          <w:sz w:val="28"/>
          <w:szCs w:val="28"/>
          <w14:ligatures w14:val="none"/>
        </w:rPr>
        <w:t xml:space="preserve"> </w:t>
      </w:r>
      <w:r w:rsidR="00220838">
        <w:rPr>
          <w:rFonts w:eastAsia="Arial"/>
          <w:bCs/>
          <w:color w:val="auto"/>
          <w:kern w:val="0"/>
          <w:sz w:val="28"/>
          <w:szCs w:val="28"/>
          <w14:ligatures w14:val="none"/>
        </w:rPr>
        <w:t>–</w:t>
      </w:r>
      <w:r>
        <w:rPr>
          <w:rFonts w:eastAsia="Arial"/>
          <w:bCs/>
          <w:color w:val="auto"/>
          <w:kern w:val="0"/>
          <w:sz w:val="28"/>
          <w:szCs w:val="28"/>
          <w14:ligatures w14:val="none"/>
        </w:rPr>
        <w:t xml:space="preserve"> </w:t>
      </w:r>
      <w:r w:rsidR="00220838">
        <w:rPr>
          <w:rFonts w:eastAsia="Arial"/>
          <w:bCs/>
          <w:color w:val="auto"/>
          <w:kern w:val="0"/>
          <w:sz w:val="28"/>
          <w:szCs w:val="28"/>
          <w14:ligatures w14:val="none"/>
        </w:rPr>
        <w:t>those are the types of exhibits that do not go out with the jury under the Continuing Witness Rule</w:t>
      </w:r>
    </w:p>
    <w:p w14:paraId="575AACD7" w14:textId="37265F0D" w:rsidR="00220838" w:rsidRDefault="00220838" w:rsidP="00D81984">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8C2E05F">
          <v:rect id="_x0000_i1200" style="width:0;height:1.5pt" o:hralign="center" o:hrstd="t" o:hr="t" fillcolor="#a0a0a0" stroked="f"/>
        </w:pict>
      </w:r>
    </w:p>
    <w:p w14:paraId="08E9B012" w14:textId="79097A94" w:rsidR="00220838" w:rsidRDefault="00220838" w:rsidP="00D81984">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As we go through some examples of evidence that does and does not go out with the jury, we recognize that some of these will seem to be “close calls” as to whether those types of exhibits have a testimonial quality</w:t>
      </w:r>
    </w:p>
    <w:p w14:paraId="2003478B" w14:textId="1CCCF974" w:rsidR="00220838" w:rsidRDefault="00220838" w:rsidP="00220838">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And that is why we decided to record this episode – we want judges and lawyers who try jury trials to consider the Continuing Witness Rule </w:t>
      </w:r>
      <w:r>
        <w:rPr>
          <w:rFonts w:eastAsia="Arial"/>
          <w:b/>
          <w:i/>
          <w:iCs/>
          <w:color w:val="auto"/>
          <w:kern w:val="0"/>
          <w:sz w:val="28"/>
          <w:szCs w:val="28"/>
          <w14:ligatures w14:val="none"/>
        </w:rPr>
        <w:t>before</w:t>
      </w:r>
      <w:r>
        <w:rPr>
          <w:rFonts w:eastAsia="Arial"/>
          <w:bCs/>
          <w:color w:val="auto"/>
          <w:kern w:val="0"/>
          <w:sz w:val="28"/>
          <w:szCs w:val="28"/>
          <w14:ligatures w14:val="none"/>
        </w:rPr>
        <w:t xml:space="preserve"> trial and not during the hustle and bustle of submitting the case to the jury</w:t>
      </w:r>
    </w:p>
    <w:p w14:paraId="254D918E" w14:textId="73213FE8" w:rsidR="00220838" w:rsidRDefault="009839C3" w:rsidP="00220838">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2A9A0E3F">
          <v:rect id="_x0000_i1201" style="width:0;height:1.5pt" o:hralign="center" o:hrstd="t" o:hr="t" fillcolor="#a0a0a0" stroked="f"/>
        </w:pict>
      </w:r>
    </w:p>
    <w:p w14:paraId="3F32B8C3" w14:textId="4012B22C" w:rsidR="00220838" w:rsidRDefault="009839C3" w:rsidP="0022083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As we mentioned at the beginning of the episode, we have charts that are embedded in the trial outlines that we provide to new Superior Court judges</w:t>
      </w:r>
      <w:r w:rsidR="00801AB0">
        <w:rPr>
          <w:rFonts w:eastAsia="Arial"/>
          <w:bCs/>
          <w:color w:val="auto"/>
          <w:kern w:val="0"/>
          <w:sz w:val="28"/>
          <w:szCs w:val="28"/>
          <w14:ligatures w14:val="none"/>
        </w:rPr>
        <w:t>.  Those charts</w:t>
      </w:r>
      <w:r>
        <w:rPr>
          <w:rFonts w:eastAsia="Arial"/>
          <w:bCs/>
          <w:color w:val="auto"/>
          <w:kern w:val="0"/>
          <w:sz w:val="28"/>
          <w:szCs w:val="28"/>
          <w14:ligatures w14:val="none"/>
        </w:rPr>
        <w:t xml:space="preserve"> contain examples (with case citations) of exhibits that do and do not go out with the jury under the Rule</w:t>
      </w:r>
    </w:p>
    <w:p w14:paraId="240D9B33" w14:textId="2AA97B06" w:rsidR="009839C3" w:rsidRDefault="009839C3" w:rsidP="009839C3">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Because we love our listeners, we have copied those charts and you can find them in the episode notes for this episode – you find that on our website, goodjudgepod.com.  </w:t>
      </w:r>
    </w:p>
    <w:p w14:paraId="59176D69" w14:textId="44E4C346" w:rsidR="009839C3" w:rsidRDefault="009839C3" w:rsidP="009839C3">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Shout out to my staff attorney, John “JB” Bryant for keeping the site updated.  We do our best to provide the episode notes to him for uploading but we are occasionally a little late getting them to JB.  That’s our fault and not his.</w:t>
      </w:r>
    </w:p>
    <w:p w14:paraId="33257D37" w14:textId="4868459D" w:rsidR="000F74EE" w:rsidRDefault="00801AB0" w:rsidP="009839C3">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35563CD3">
          <v:rect id="_x0000_i1335" style="width:0;height:1.5pt" o:hralign="center" o:hrstd="t" o:hr="t" fillcolor="#a0a0a0" stroked="f"/>
        </w:pict>
      </w:r>
    </w:p>
    <w:p w14:paraId="2A627C33" w14:textId="0C93DB0F" w:rsidR="000F74EE" w:rsidRDefault="000F74EE" w:rsidP="009839C3">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Ok let’s get to some examples which we hope will make the Rule a little easier to understand and apply</w:t>
      </w:r>
    </w:p>
    <w:p w14:paraId="1783996D" w14:textId="37006265" w:rsidR="000F74EE" w:rsidRDefault="000F74EE" w:rsidP="000F74EE">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But in all candor, some of the things that are allowed and those that are not allowed to go out can, occasionally, be a little hard to distinguish</w:t>
      </w:r>
    </w:p>
    <w:p w14:paraId="2FCE02ED" w14:textId="6FD93E09" w:rsidR="000F74EE" w:rsidRDefault="000F74EE" w:rsidP="000F74E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In both criminal and civil cases, any exhibit that is “recorded testimony” of a person does not go out with the jury.</w:t>
      </w:r>
    </w:p>
    <w:p w14:paraId="0317626C" w14:textId="47472207" w:rsidR="000F74EE" w:rsidRDefault="000F74EE" w:rsidP="000F74EE">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That would include any affidavit, deposition, answers to interrogatories, written or recorded confessions or statements</w:t>
      </w:r>
    </w:p>
    <w:p w14:paraId="56AA7382" w14:textId="2D7991C0" w:rsidR="000F74EE" w:rsidRDefault="000F74EE" w:rsidP="000F74E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We hope those types of statements that have been recorded – whether merely written or via audio or video recording – </w:t>
      </w:r>
      <w:r w:rsidR="00554A8B">
        <w:rPr>
          <w:rFonts w:eastAsia="Arial"/>
          <w:bCs/>
          <w:color w:val="auto"/>
          <w:kern w:val="0"/>
          <w:sz w:val="28"/>
          <w:szCs w:val="28"/>
          <w14:ligatures w14:val="none"/>
        </w:rPr>
        <w:t xml:space="preserve">which </w:t>
      </w:r>
      <w:r>
        <w:rPr>
          <w:rFonts w:eastAsia="Arial"/>
          <w:bCs/>
          <w:color w:val="auto"/>
          <w:kern w:val="0"/>
          <w:sz w:val="28"/>
          <w:szCs w:val="28"/>
          <w14:ligatures w14:val="none"/>
        </w:rPr>
        <w:t>do not go out with the jury under the Continuing Witness Rule</w:t>
      </w:r>
      <w:r w:rsidR="00554A8B">
        <w:rPr>
          <w:rFonts w:eastAsia="Arial"/>
          <w:bCs/>
          <w:color w:val="auto"/>
          <w:kern w:val="0"/>
          <w:sz w:val="28"/>
          <w:szCs w:val="28"/>
          <w14:ligatures w14:val="none"/>
        </w:rPr>
        <w:t xml:space="preserve"> is pretty obvious</w:t>
      </w:r>
    </w:p>
    <w:p w14:paraId="779A2F65" w14:textId="03A3E94F" w:rsidR="000F74EE" w:rsidRDefault="000F74EE" w:rsidP="004F0756">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You can easily see how those “recorded statements” </w:t>
      </w:r>
      <w:r w:rsidR="004F0756">
        <w:rPr>
          <w:rFonts w:eastAsia="Arial"/>
          <w:bCs/>
          <w:color w:val="auto"/>
          <w:kern w:val="0"/>
          <w:sz w:val="28"/>
          <w:szCs w:val="28"/>
          <w14:ligatures w14:val="none"/>
        </w:rPr>
        <w:t>continue to “testify” in the jury room</w:t>
      </w:r>
    </w:p>
    <w:p w14:paraId="4E363740" w14:textId="0E14C556" w:rsidR="004F0756" w:rsidRDefault="004F0756" w:rsidP="004F0756">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 xml:space="preserve">Once again, that does </w:t>
      </w:r>
      <w:r>
        <w:rPr>
          <w:rFonts w:eastAsia="Arial"/>
          <w:b/>
          <w:i/>
          <w:iCs/>
          <w:color w:val="auto"/>
          <w:kern w:val="0"/>
          <w:sz w:val="28"/>
          <w:szCs w:val="28"/>
          <w14:ligatures w14:val="none"/>
        </w:rPr>
        <w:t>not</w:t>
      </w:r>
      <w:r>
        <w:rPr>
          <w:rFonts w:eastAsia="Arial"/>
          <w:bCs/>
          <w:color w:val="auto"/>
          <w:kern w:val="0"/>
          <w:sz w:val="28"/>
          <w:szCs w:val="28"/>
          <w14:ligatures w14:val="none"/>
        </w:rPr>
        <w:t xml:space="preserve"> mean that such exhibits cannot be admitted in the trial and even read to the jury – they clearly can be admitted and read – it is just that they do not go out with the jury during deliberations</w:t>
      </w:r>
    </w:p>
    <w:p w14:paraId="45C1838D" w14:textId="7BA19927" w:rsidR="00554A8B" w:rsidRDefault="00554A8B" w:rsidP="00554A8B">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4353A9B0">
          <v:rect id="_x0000_i1336" style="width:0;height:1.5pt" o:hralign="center" o:hrstd="t" o:hr="t" fillcolor="#a0a0a0" stroked="f"/>
        </w:pict>
      </w:r>
    </w:p>
    <w:p w14:paraId="1C6F46ED" w14:textId="320447D0" w:rsidR="004F0756" w:rsidRDefault="004F0756" w:rsidP="004F075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Let’s keep going with the types of things that </w:t>
      </w:r>
      <w:r w:rsidRPr="00554A8B">
        <w:rPr>
          <w:rFonts w:eastAsia="Arial"/>
          <w:b/>
          <w:i/>
          <w:iCs/>
          <w:color w:val="auto"/>
          <w:kern w:val="0"/>
          <w:sz w:val="28"/>
          <w:szCs w:val="28"/>
          <w14:ligatures w14:val="none"/>
        </w:rPr>
        <w:t>do not</w:t>
      </w:r>
      <w:r>
        <w:rPr>
          <w:rFonts w:eastAsia="Arial"/>
          <w:bCs/>
          <w:color w:val="auto"/>
          <w:kern w:val="0"/>
          <w:sz w:val="28"/>
          <w:szCs w:val="28"/>
          <w14:ligatures w14:val="none"/>
        </w:rPr>
        <w:t xml:space="preserve"> go out with the jury</w:t>
      </w:r>
    </w:p>
    <w:p w14:paraId="67882924" w14:textId="373E7C97" w:rsidR="004F0756" w:rsidRDefault="004F0756" w:rsidP="004F0756">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Narrative portions of a police report and any search warrants or search warrant affidavits do not go out with the jury</w:t>
      </w:r>
    </w:p>
    <w:p w14:paraId="3E582824" w14:textId="73F753DA" w:rsidR="004F0756" w:rsidRDefault="004F0756" w:rsidP="004F075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You can see how those sorts of documents “testify” in the jury room</w:t>
      </w:r>
    </w:p>
    <w:p w14:paraId="50CF2FF1" w14:textId="15B57CD0" w:rsidR="004F0756" w:rsidRDefault="004F0756" w:rsidP="004F075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Reports of experts do not go out with the jury</w:t>
      </w:r>
    </w:p>
    <w:p w14:paraId="3B210E7E" w14:textId="3F739321" w:rsidR="004D0BDC" w:rsidRDefault="004D0BDC" w:rsidP="004F075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Again, it is pretty clear how that would be a “testimonial” exhibit</w:t>
      </w:r>
    </w:p>
    <w:p w14:paraId="5D498082" w14:textId="1D09B1D7" w:rsidR="004D0BDC" w:rsidRDefault="004D0BDC" w:rsidP="004F0756">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lastRenderedPageBreak/>
        <w:pict w14:anchorId="7232AC52">
          <v:rect id="_x0000_i1202" style="width:0;height:1.5pt" o:hralign="center" o:hrstd="t" o:hr="t" fillcolor="#a0a0a0" stroked="f"/>
        </w:pict>
      </w:r>
    </w:p>
    <w:p w14:paraId="682A33C1" w14:textId="19BB4370" w:rsidR="004D0BDC" w:rsidRDefault="004D0BDC" w:rsidP="004F075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Now, for our evidence nerds (“our people”)</w:t>
      </w:r>
    </w:p>
    <w:p w14:paraId="48F469CE" w14:textId="779D2E78" w:rsidR="004D0BDC" w:rsidRDefault="004D0BDC" w:rsidP="004F0756">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Let’s assume you used a document to refresh the witness’ recollection under § 24-8-803(5)</w:t>
      </w:r>
      <w:r w:rsidR="00777C65">
        <w:rPr>
          <w:rFonts w:eastAsia="Arial"/>
          <w:bCs/>
          <w:color w:val="auto"/>
          <w:kern w:val="0"/>
          <w:sz w:val="28"/>
          <w:szCs w:val="28"/>
          <w14:ligatures w14:val="none"/>
        </w:rPr>
        <w:t xml:space="preserve"> or § 24-6-612.  The witness claimed a lack of memory and you showed them something to refresh his/her recollection.  Under 803(5), that document can be admitted – under 612, it can be admitted by the opposing party</w:t>
      </w:r>
    </w:p>
    <w:p w14:paraId="54A66119" w14:textId="049E3E3E" w:rsidR="00777C65" w:rsidRDefault="00777C65" w:rsidP="00777C6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But under the Continuing Witness Rule, none of those documents go out with the jury – regardless of whether it was a prior consistent statement, a prior inconsistent statement or was merely past recollection recorded</w:t>
      </w:r>
    </w:p>
    <w:p w14:paraId="44CB1C65" w14:textId="47E0451E" w:rsidR="00554A8B" w:rsidRPr="00554A8B" w:rsidRDefault="00554A8B" w:rsidP="00554A8B">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 xml:space="preserve">They may be able to be </w:t>
      </w:r>
      <w:r>
        <w:rPr>
          <w:rFonts w:eastAsia="Arial"/>
          <w:b/>
          <w:i/>
          <w:iCs/>
          <w:color w:val="auto"/>
          <w:kern w:val="0"/>
          <w:sz w:val="28"/>
          <w:szCs w:val="28"/>
          <w14:ligatures w14:val="none"/>
        </w:rPr>
        <w:t>admitted</w:t>
      </w:r>
      <w:r>
        <w:rPr>
          <w:rFonts w:eastAsia="Arial"/>
          <w:bCs/>
          <w:color w:val="auto"/>
          <w:kern w:val="0"/>
          <w:sz w:val="28"/>
          <w:szCs w:val="28"/>
          <w14:ligatures w14:val="none"/>
        </w:rPr>
        <w:t xml:space="preserve"> but they do not go out with the jury</w:t>
      </w:r>
    </w:p>
    <w:p w14:paraId="6A1C38AE" w14:textId="5E452892" w:rsidR="00777C65" w:rsidRPr="004F0756" w:rsidRDefault="00777C65" w:rsidP="00777C6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Those documents can be discussed during the trial, under some circumstances can be admitted, but they do not go out with the jury.</w:t>
      </w:r>
    </w:p>
    <w:p w14:paraId="3B442382" w14:textId="3718B7B0" w:rsidR="00A27AD2" w:rsidRDefault="00000000" w:rsidP="00D81984">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7249079E">
          <v:rect id="_x0000_i1031" style="width:0;height:1.5pt" o:hralign="center" o:hrstd="t" o:hr="t" fillcolor="#a0a0a0" stroked="f"/>
        </w:pict>
      </w:r>
    </w:p>
    <w:p w14:paraId="45A0239F" w14:textId="45C6A838" w:rsidR="00A27AD2" w:rsidRDefault="00A87877" w:rsidP="00A27AD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We have discussed the things that do not go out with the jury and we have reiterated that it is pretty clear why they would not go out – they “continue to testify” in the jury room</w:t>
      </w:r>
    </w:p>
    <w:p w14:paraId="641849B6" w14:textId="4545A39D" w:rsidR="00A87877" w:rsidRDefault="00A87877" w:rsidP="00A87877">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We told you earlier that there are some head scratchers or close calls and we have not given you any</w:t>
      </w:r>
      <w:r w:rsidR="00554A8B">
        <w:rPr>
          <w:rFonts w:eastAsia="Arial"/>
          <w:bCs/>
          <w:color w:val="auto"/>
          <w:kern w:val="0"/>
          <w:sz w:val="28"/>
          <w:szCs w:val="28"/>
          <w14:ligatures w14:val="none"/>
        </w:rPr>
        <w:t xml:space="preserve"> thus far</w:t>
      </w:r>
      <w:r>
        <w:rPr>
          <w:rFonts w:eastAsia="Arial"/>
          <w:bCs/>
          <w:color w:val="auto"/>
          <w:kern w:val="0"/>
          <w:sz w:val="28"/>
          <w:szCs w:val="28"/>
          <w14:ligatures w14:val="none"/>
        </w:rPr>
        <w:t xml:space="preserve"> – they have all been pretty obvious.</w:t>
      </w:r>
    </w:p>
    <w:p w14:paraId="1ED08EE3" w14:textId="31E17E7B" w:rsidR="00A87877" w:rsidRDefault="00A87877" w:rsidP="00A8787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As we pivot now to the types of documents that</w:t>
      </w:r>
      <w:r w:rsidRPr="008A228F">
        <w:rPr>
          <w:rFonts w:eastAsia="Arial"/>
          <w:b/>
          <w:i/>
          <w:iCs/>
          <w:color w:val="auto"/>
          <w:kern w:val="0"/>
          <w:sz w:val="28"/>
          <w:szCs w:val="28"/>
          <w14:ligatures w14:val="none"/>
        </w:rPr>
        <w:t xml:space="preserve"> are allowed</w:t>
      </w:r>
      <w:r>
        <w:rPr>
          <w:rFonts w:eastAsia="Arial"/>
          <w:bCs/>
          <w:color w:val="auto"/>
          <w:kern w:val="0"/>
          <w:sz w:val="28"/>
          <w:szCs w:val="28"/>
          <w14:ligatures w14:val="none"/>
        </w:rPr>
        <w:t xml:space="preserve"> to go out with the jury under the Rule, I think you may see some that seem to be a close call</w:t>
      </w:r>
    </w:p>
    <w:p w14:paraId="3E20B4CB" w14:textId="1B2A82F8" w:rsidR="00A87877" w:rsidRDefault="007B786F" w:rsidP="00A87877">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36BA10FD">
          <v:rect id="_x0000_i1203" style="width:0;height:1.5pt" o:hralign="center" o:hrstd="t" o:hr="t" fillcolor="#a0a0a0" stroked="f"/>
        </w:pict>
      </w:r>
    </w:p>
    <w:p w14:paraId="2E8711CB" w14:textId="7230C726" w:rsidR="007B786F" w:rsidRDefault="007B786F" w:rsidP="00A8787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 death certificate which is redacted to exclude the manner of death can go out with the jury</w:t>
      </w:r>
    </w:p>
    <w:p w14:paraId="5B0DCC63" w14:textId="48EF1B64" w:rsidR="007B786F" w:rsidRDefault="007B786F" w:rsidP="007B786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 photo lineup can go out with the jury but the degree of certainty of the person who viewed the lineup must be redacted</w:t>
      </w:r>
    </w:p>
    <w:p w14:paraId="05E9F0EF" w14:textId="3A48B1E0" w:rsidR="007B786F" w:rsidRDefault="007B786F" w:rsidP="007B786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As you can see, the redactions that are required are eliminating the “testimonial” part of the exhibits</w:t>
      </w:r>
    </w:p>
    <w:p w14:paraId="5C5FFE78" w14:textId="662472CE" w:rsidR="007B786F" w:rsidRDefault="007B786F" w:rsidP="007B786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Photographs can go out with the jury</w:t>
      </w:r>
    </w:p>
    <w:p w14:paraId="239B306E" w14:textId="6F3BDC6E" w:rsidR="007B786F" w:rsidRDefault="007B786F" w:rsidP="007B786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The jury can receive a copy of the implied consent card that the officer used to inform the defendant of his/her rights in a DUI case</w:t>
      </w:r>
    </w:p>
    <w:p w14:paraId="7D780936" w14:textId="349891A8" w:rsidR="007B786F" w:rsidRDefault="007B786F" w:rsidP="007B786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The print out of the Intoxilyzer can go out with the jury</w:t>
      </w:r>
    </w:p>
    <w:p w14:paraId="3A7446CA" w14:textId="1E618392" w:rsidR="007B786F" w:rsidRDefault="007B786F" w:rsidP="007B786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Remember that machines cannot </w:t>
      </w:r>
      <w:r w:rsidR="00F84D17">
        <w:rPr>
          <w:rFonts w:eastAsia="Arial"/>
          <w:bCs/>
          <w:color w:val="auto"/>
          <w:kern w:val="0"/>
          <w:sz w:val="28"/>
          <w:szCs w:val="28"/>
          <w14:ligatures w14:val="none"/>
        </w:rPr>
        <w:t>“</w:t>
      </w:r>
      <w:r>
        <w:rPr>
          <w:rFonts w:eastAsia="Arial"/>
          <w:bCs/>
          <w:color w:val="auto"/>
          <w:kern w:val="0"/>
          <w:sz w:val="28"/>
          <w:szCs w:val="28"/>
          <w14:ligatures w14:val="none"/>
        </w:rPr>
        <w:t>testify”</w:t>
      </w:r>
    </w:p>
    <w:p w14:paraId="61BD2FAC" w14:textId="76EACF33" w:rsidR="008A228F" w:rsidRDefault="008A228F" w:rsidP="008A228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An officer’s certifications to conduct field sobriety testing can go out with the jury</w:t>
      </w:r>
    </w:p>
    <w:p w14:paraId="3230A79D" w14:textId="7BE5ED05" w:rsidR="00F84D17" w:rsidRDefault="00F84D17" w:rsidP="008A228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 police artist’s sketch of the alleged offender as described by the victim can go out with the jury</w:t>
      </w:r>
    </w:p>
    <w:p w14:paraId="515D6565" w14:textId="417F8BAB" w:rsidR="00F84D17" w:rsidRDefault="00F84D17" w:rsidP="008A228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 can see how it could be argued that is a “recording” of the “testimony” of the victim – but the cases say that</w:t>
      </w:r>
      <w:r w:rsidR="00756130">
        <w:rPr>
          <w:rFonts w:eastAsia="Arial"/>
          <w:bCs/>
          <w:color w:val="auto"/>
          <w:kern w:val="0"/>
          <w:sz w:val="28"/>
          <w:szCs w:val="28"/>
          <w14:ligatures w14:val="none"/>
        </w:rPr>
        <w:t xml:space="preserve"> sketches do </w:t>
      </w:r>
      <w:r>
        <w:rPr>
          <w:rFonts w:eastAsia="Arial"/>
          <w:bCs/>
          <w:color w:val="auto"/>
          <w:kern w:val="0"/>
          <w:sz w:val="28"/>
          <w:szCs w:val="28"/>
          <w14:ligatures w14:val="none"/>
        </w:rPr>
        <w:t>not offend the Continuing Witness Rule</w:t>
      </w:r>
    </w:p>
    <w:p w14:paraId="038B347A" w14:textId="506AF6A6" w:rsidR="00F84D17" w:rsidRDefault="00F84D17" w:rsidP="008A228F">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 xml:space="preserve">You know, as an aside, what happened to the sketch artist?  I always thought that those were cool.  Especially on TV cop shows – they drew a portrait of the defendant with a stocking hat on or with sunglasses – anyway, just another </w:t>
      </w:r>
      <w:r w:rsidR="00D172C2">
        <w:rPr>
          <w:rFonts w:eastAsia="Arial"/>
          <w:bCs/>
          <w:color w:val="auto"/>
          <w:kern w:val="0"/>
          <w:sz w:val="28"/>
          <w:szCs w:val="28"/>
          <w14:ligatures w14:val="none"/>
        </w:rPr>
        <w:t>skilled artisan out of work</w:t>
      </w:r>
    </w:p>
    <w:p w14:paraId="37B9CC94" w14:textId="4D9DED23" w:rsidR="00D172C2" w:rsidRDefault="00D172C2" w:rsidP="00D172C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b/>
        <w:t>Did you ever see the artist’s sketch of the Unabomber?</w:t>
      </w:r>
    </w:p>
    <w:p w14:paraId="05CB47CE" w14:textId="13C1B26C" w:rsidR="00D172C2" w:rsidRDefault="00D172C2" w:rsidP="00D172C2">
      <w:pPr>
        <w:spacing w:before="120" w:after="240" w:line="480" w:lineRule="auto"/>
        <w:ind w:right="720"/>
        <w:jc w:val="center"/>
        <w:rPr>
          <w:rFonts w:eastAsia="Arial"/>
          <w:bCs/>
          <w:color w:val="auto"/>
          <w:kern w:val="0"/>
          <w:sz w:val="28"/>
          <w:szCs w:val="28"/>
          <w14:ligatures w14:val="none"/>
        </w:rPr>
      </w:pPr>
      <w:r>
        <w:rPr>
          <w:rFonts w:eastAsia="Arial"/>
          <w:bCs/>
          <w:noProof/>
          <w:sz w:val="28"/>
          <w:szCs w:val="28"/>
        </w:rPr>
        <w:lastRenderedPageBreak/>
        <w:drawing>
          <wp:inline distT="0" distB="0" distL="0" distR="0" wp14:anchorId="08E699E7" wp14:editId="11AADD08">
            <wp:extent cx="2566035" cy="1405890"/>
            <wp:effectExtent l="0" t="0" r="5715" b="3810"/>
            <wp:docPr id="1" name="Picture 1" descr="Left: Facial composite sketch of the Unabomber drawn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Facial composite sketch of the Unabomber drawn b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35" cy="1405890"/>
                    </a:xfrm>
                    <a:prstGeom prst="rect">
                      <a:avLst/>
                    </a:prstGeom>
                    <a:noFill/>
                    <a:ln>
                      <a:noFill/>
                    </a:ln>
                  </pic:spPr>
                </pic:pic>
              </a:graphicData>
            </a:graphic>
          </wp:inline>
        </w:drawing>
      </w:r>
    </w:p>
    <w:p w14:paraId="60E6CEA1" w14:textId="652811E0" w:rsidR="00D172C2" w:rsidRDefault="00D172C2" w:rsidP="00D172C2">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 xml:space="preserve">I wouldn’t call it a </w:t>
      </w:r>
      <w:r w:rsidRPr="002E2B0D">
        <w:rPr>
          <w:rFonts w:eastAsia="Arial"/>
          <w:bCs/>
          <w:i/>
          <w:iCs/>
          <w:color w:val="auto"/>
          <w:kern w:val="0"/>
          <w:sz w:val="28"/>
          <w:szCs w:val="28"/>
          <w14:ligatures w14:val="none"/>
        </w:rPr>
        <w:t xml:space="preserve">portrait </w:t>
      </w:r>
      <w:r>
        <w:rPr>
          <w:rFonts w:eastAsia="Arial"/>
          <w:bCs/>
          <w:color w:val="auto"/>
          <w:kern w:val="0"/>
          <w:sz w:val="28"/>
          <w:szCs w:val="28"/>
          <w14:ligatures w14:val="none"/>
        </w:rPr>
        <w:t>when compared with his booking photo but I can see the resemblance</w:t>
      </w:r>
      <w:r w:rsidR="00756130">
        <w:rPr>
          <w:rFonts w:eastAsia="Arial"/>
          <w:bCs/>
          <w:color w:val="auto"/>
          <w:kern w:val="0"/>
          <w:sz w:val="28"/>
          <w:szCs w:val="28"/>
          <w14:ligatures w14:val="none"/>
        </w:rPr>
        <w:t xml:space="preserve"> – I guess</w:t>
      </w:r>
    </w:p>
    <w:p w14:paraId="18FB2C8F" w14:textId="0895940B" w:rsidR="00D172C2" w:rsidRDefault="00D172C2" w:rsidP="00D172C2">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79FA0B6F">
          <v:rect id="_x0000_i1204" style="width:0;height:1.5pt" o:hralign="center" o:hrstd="t" o:hr="t" fillcolor="#a0a0a0" stroked="f"/>
        </w:pict>
      </w:r>
    </w:p>
    <w:p w14:paraId="07FEFD95" w14:textId="5BD9694F" w:rsidR="00D172C2" w:rsidRDefault="00D172C2" w:rsidP="00D172C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Medical records go out with the jury under the Continuing Witness Rule</w:t>
      </w:r>
    </w:p>
    <w:p w14:paraId="28CA766C" w14:textId="2117104B" w:rsidR="00D172C2" w:rsidRDefault="00D172C2" w:rsidP="00D172C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 have looked over hundreds of medical records in my career and those records are </w:t>
      </w:r>
      <w:r>
        <w:rPr>
          <w:rFonts w:eastAsia="Arial"/>
          <w:b/>
          <w:i/>
          <w:iCs/>
          <w:color w:val="auto"/>
          <w:kern w:val="0"/>
          <w:sz w:val="28"/>
          <w:szCs w:val="28"/>
          <w14:ligatures w14:val="none"/>
        </w:rPr>
        <w:t>filled</w:t>
      </w:r>
      <w:r>
        <w:rPr>
          <w:rFonts w:eastAsia="Arial"/>
          <w:bCs/>
          <w:color w:val="auto"/>
          <w:kern w:val="0"/>
          <w:sz w:val="28"/>
          <w:szCs w:val="28"/>
          <w14:ligatures w14:val="none"/>
        </w:rPr>
        <w:t xml:space="preserve"> with testimony of nurses, doctors, reports of the patient, etc.  But they go out with the jury under the Continuing Witness Rule</w:t>
      </w:r>
    </w:p>
    <w:p w14:paraId="74745336" w14:textId="1DFC0916" w:rsidR="00D172C2" w:rsidRDefault="00E436B0" w:rsidP="00D172C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 Crime Lab Report can go out with the jury unless the report is “merely conclusions”</w:t>
      </w:r>
    </w:p>
    <w:p w14:paraId="2681080D" w14:textId="45523482" w:rsidR="00E436B0" w:rsidRDefault="00E436B0" w:rsidP="00E436B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Note – this is one of the tougher exhibits to reconcile with the Rule – the conclusions of the scientist do not have to be redacted but if the report is </w:t>
      </w:r>
      <w:r>
        <w:rPr>
          <w:rFonts w:eastAsia="Arial"/>
          <w:b/>
          <w:i/>
          <w:iCs/>
          <w:color w:val="auto"/>
          <w:kern w:val="0"/>
          <w:sz w:val="28"/>
          <w:szCs w:val="28"/>
          <w14:ligatures w14:val="none"/>
        </w:rPr>
        <w:t>only conclusions</w:t>
      </w:r>
      <w:r>
        <w:rPr>
          <w:rFonts w:eastAsia="Arial"/>
          <w:bCs/>
          <w:color w:val="auto"/>
          <w:kern w:val="0"/>
          <w:sz w:val="28"/>
          <w:szCs w:val="28"/>
          <w14:ligatures w14:val="none"/>
        </w:rPr>
        <w:t>, it does not go out with the jury</w:t>
      </w:r>
    </w:p>
    <w:p w14:paraId="2AA90661" w14:textId="15C10AE8" w:rsidR="00E436B0" w:rsidRDefault="00E436B0" w:rsidP="00E436B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Certified copies of prior convictions of the defendant introduced for impeachment can go out with the jury but they must be redacted to exclude the sentence imposed</w:t>
      </w:r>
    </w:p>
    <w:p w14:paraId="21DF56AC" w14:textId="4D72E065" w:rsidR="0008374E" w:rsidRDefault="00264085" w:rsidP="00E436B0">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4D47902D">
          <v:rect id="_x0000_i1205" style="width:0;height:1.5pt" o:hralign="center" o:hrstd="t" o:hr="t" fillcolor="#a0a0a0" stroked="f"/>
        </w:pict>
      </w:r>
    </w:p>
    <w:p w14:paraId="79CF7FC3" w14:textId="5BD90FE4" w:rsidR="008E0F92" w:rsidRDefault="008E0F92" w:rsidP="00E436B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Where a letter </w:t>
      </w:r>
      <w:r>
        <w:rPr>
          <w:rFonts w:eastAsia="Arial"/>
          <w:b/>
          <w:i/>
          <w:iCs/>
          <w:color w:val="auto"/>
          <w:kern w:val="0"/>
          <w:sz w:val="28"/>
          <w:szCs w:val="28"/>
          <w14:ligatures w14:val="none"/>
        </w:rPr>
        <w:t>is the crime</w:t>
      </w:r>
      <w:r>
        <w:rPr>
          <w:rFonts w:eastAsia="Arial"/>
          <w:bCs/>
          <w:color w:val="auto"/>
          <w:kern w:val="0"/>
          <w:sz w:val="28"/>
          <w:szCs w:val="28"/>
          <w14:ligatures w14:val="none"/>
        </w:rPr>
        <w:t>, it is not error for the letter to be allowed to go out with the jury</w:t>
      </w:r>
    </w:p>
    <w:p w14:paraId="0491E9F4" w14:textId="4636D9C5" w:rsidR="008E0F92" w:rsidRDefault="008E0F92" w:rsidP="008E0F9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In the case I am specifically referencing, the defendant was charged with intimidating witnesses.  The defendant wrote a letter to the witness that threatened the witness with physical harm if he testified at the upcoming trial</w:t>
      </w:r>
      <w:r>
        <w:rPr>
          <w:rStyle w:val="EndnoteReference"/>
          <w:rFonts w:eastAsia="Arial"/>
          <w:bCs/>
          <w:kern w:val="0"/>
          <w:szCs w:val="28"/>
          <w14:ligatures w14:val="none"/>
        </w:rPr>
        <w:endnoteReference w:id="3"/>
      </w:r>
      <w:r>
        <w:rPr>
          <w:rFonts w:eastAsia="Arial"/>
          <w:bCs/>
          <w:color w:val="auto"/>
          <w:kern w:val="0"/>
          <w:sz w:val="28"/>
          <w:szCs w:val="28"/>
          <w14:ligatures w14:val="none"/>
        </w:rPr>
        <w:t xml:space="preserve">  </w:t>
      </w:r>
    </w:p>
    <w:p w14:paraId="1D76A441" w14:textId="6E28E055" w:rsidR="008E0F92" w:rsidRDefault="008E0F92" w:rsidP="00E436B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Where the exhibit </w:t>
      </w:r>
      <w:r>
        <w:rPr>
          <w:rFonts w:eastAsia="Arial"/>
          <w:b/>
          <w:i/>
          <w:iCs/>
          <w:color w:val="auto"/>
          <w:kern w:val="0"/>
          <w:sz w:val="28"/>
          <w:szCs w:val="28"/>
          <w14:ligatures w14:val="none"/>
        </w:rPr>
        <w:t>is the crime</w:t>
      </w:r>
      <w:r>
        <w:rPr>
          <w:rFonts w:eastAsia="Arial"/>
          <w:bCs/>
          <w:color w:val="auto"/>
          <w:kern w:val="0"/>
          <w:sz w:val="28"/>
          <w:szCs w:val="28"/>
          <w14:ligatures w14:val="none"/>
        </w:rPr>
        <w:t>, the letter can go out with the jury.  However, in other situations where the parties wrote one another – letters, e-mails, text messages, etc. – the communications can be admitted if they are relevant to something in the trial but they cannot go out with the jury</w:t>
      </w:r>
    </w:p>
    <w:p w14:paraId="248F78E0" w14:textId="56F9BF90" w:rsidR="008E0F92" w:rsidRPr="008E0F92" w:rsidRDefault="008E0F92" w:rsidP="00E436B0">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3546029">
          <v:rect id="_x0000_i1206" style="width:0;height:1.5pt" o:hralign="center" o:hrstd="t" o:hr="t" fillcolor="#a0a0a0" stroked="f"/>
        </w:pict>
      </w:r>
    </w:p>
    <w:p w14:paraId="54D194D4" w14:textId="0914B0CE" w:rsidR="0008374E" w:rsidRDefault="0008374E" w:rsidP="00E436B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next example of an exhibit that can go out with the jury may need some explanation.</w:t>
      </w:r>
    </w:p>
    <w:p w14:paraId="11155BD1" w14:textId="4621A806" w:rsidR="0008374E" w:rsidRDefault="0008374E" w:rsidP="0008374E">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lastRenderedPageBreak/>
        <w:t>A surveillance video, without narration, can go out with the jury.</w:t>
      </w:r>
      <w:r>
        <w:rPr>
          <w:rStyle w:val="EndnoteReference"/>
          <w:rFonts w:eastAsia="Arial"/>
          <w:bCs/>
          <w:kern w:val="0"/>
          <w:szCs w:val="28"/>
          <w14:ligatures w14:val="none"/>
        </w:rPr>
        <w:endnoteReference w:id="4"/>
      </w:r>
      <w:r>
        <w:rPr>
          <w:rFonts w:eastAsia="Arial"/>
          <w:bCs/>
          <w:color w:val="auto"/>
          <w:kern w:val="0"/>
          <w:sz w:val="28"/>
          <w:szCs w:val="28"/>
          <w14:ligatures w14:val="none"/>
        </w:rPr>
        <w:t xml:space="preserve">  There, we said it.  And we know it seems to contradict all that we have said about undue emphasis on one piece of evidence over all others.</w:t>
      </w:r>
    </w:p>
    <w:p w14:paraId="78EF4F9F" w14:textId="284C1001" w:rsidR="00264085" w:rsidRDefault="00264085" w:rsidP="0026408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Well, there is another aspect of the Continuing Witness Rule that we have been saving until now for the big reveal</w:t>
      </w:r>
    </w:p>
    <w:p w14:paraId="59AD45EE" w14:textId="357BA43C" w:rsidR="00264085" w:rsidRDefault="00264085" w:rsidP="0026408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In a recent decision, the Ga. Supreme Court held that a surveillance tape of the “crime” can go out with the jury to be reviewed in the jury room because the</w:t>
      </w:r>
      <w:r w:rsidR="007E03AF">
        <w:rPr>
          <w:rFonts w:eastAsia="Arial"/>
          <w:bCs/>
          <w:color w:val="auto"/>
          <w:kern w:val="0"/>
          <w:sz w:val="28"/>
          <w:szCs w:val="28"/>
          <w14:ligatures w14:val="none"/>
        </w:rPr>
        <w:t xml:space="preserve"> video recordings</w:t>
      </w:r>
      <w:r>
        <w:rPr>
          <w:rFonts w:eastAsia="Arial"/>
          <w:bCs/>
          <w:color w:val="auto"/>
          <w:kern w:val="0"/>
          <w:sz w:val="28"/>
          <w:szCs w:val="28"/>
          <w14:ligatures w14:val="none"/>
        </w:rPr>
        <w:t>:</w:t>
      </w:r>
    </w:p>
    <w:p w14:paraId="2C63E335" w14:textId="43A78F8B" w:rsidR="00264085" w:rsidRDefault="00264085" w:rsidP="00264085">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“were not the reduction to writing of an oral statement, nor a written statement provided in lieu of testimony”</w:t>
      </w:r>
    </w:p>
    <w:p w14:paraId="7954FD08" w14:textId="74DB17FD" w:rsidR="00264085" w:rsidRDefault="00264085" w:rsidP="00264085">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And</w:t>
      </w:r>
    </w:p>
    <w:p w14:paraId="36A46C91" w14:textId="10E648D2" w:rsidR="00264085" w:rsidRDefault="0072193B" w:rsidP="00264085">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The surveillance videos were “original documentary evidence” that “did not derive their evidentiary value solely from the credibility of their makers”</w:t>
      </w:r>
      <w:r>
        <w:rPr>
          <w:rStyle w:val="EndnoteReference"/>
          <w:rFonts w:eastAsia="Arial"/>
          <w:bCs/>
          <w:kern w:val="0"/>
          <w:szCs w:val="28"/>
          <w14:ligatures w14:val="none"/>
        </w:rPr>
        <w:endnoteReference w:id="5"/>
      </w:r>
    </w:p>
    <w:p w14:paraId="1EA0BA4F" w14:textId="00638B22" w:rsidR="0072193B" w:rsidRDefault="0072193B" w:rsidP="0072193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So, as you can see, there is another </w:t>
      </w:r>
      <w:r w:rsidR="007E03AF">
        <w:rPr>
          <w:rFonts w:eastAsia="Arial"/>
          <w:bCs/>
          <w:color w:val="auto"/>
          <w:kern w:val="0"/>
          <w:sz w:val="28"/>
          <w:szCs w:val="28"/>
          <w14:ligatures w14:val="none"/>
        </w:rPr>
        <w:t>factor</w:t>
      </w:r>
      <w:r>
        <w:rPr>
          <w:rFonts w:eastAsia="Arial"/>
          <w:bCs/>
          <w:color w:val="auto"/>
          <w:kern w:val="0"/>
          <w:sz w:val="28"/>
          <w:szCs w:val="28"/>
          <w14:ligatures w14:val="none"/>
        </w:rPr>
        <w:t xml:space="preserve"> that courts must consider when deciding whether a particular exhibit is to go out with the jury during deliberations</w:t>
      </w:r>
    </w:p>
    <w:p w14:paraId="6828D8AC" w14:textId="456F51C9" w:rsidR="0072193B" w:rsidRPr="00E436B0" w:rsidRDefault="0072193B" w:rsidP="0072193B">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Whether the exhibit ha</w:t>
      </w:r>
      <w:r w:rsidR="007E03AF">
        <w:rPr>
          <w:rFonts w:eastAsia="Arial"/>
          <w:bCs/>
          <w:color w:val="auto"/>
          <w:kern w:val="0"/>
          <w:sz w:val="28"/>
          <w:szCs w:val="28"/>
          <w14:ligatures w14:val="none"/>
        </w:rPr>
        <w:t>s</w:t>
      </w:r>
      <w:r>
        <w:rPr>
          <w:rFonts w:eastAsia="Arial"/>
          <w:bCs/>
          <w:color w:val="auto"/>
          <w:kern w:val="0"/>
          <w:sz w:val="28"/>
          <w:szCs w:val="28"/>
          <w14:ligatures w14:val="none"/>
        </w:rPr>
        <w:t xml:space="preserve"> evidentiary value (or not) based upon the credibility of the maker of the exhibit.  If no, it can go out.  If yes, it cannot.</w:t>
      </w:r>
    </w:p>
    <w:p w14:paraId="3AA9D2CC" w14:textId="3EC3B98F" w:rsidR="00B146E1" w:rsidRDefault="00000000" w:rsidP="00AB0F85">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B044B26">
          <v:rect id="_x0000_i1032" style="width:0;height:1.5pt" o:hralign="center" o:hrstd="t" o:hr="t" fillcolor="#a0a0a0" stroked="f"/>
        </w:pict>
      </w:r>
    </w:p>
    <w:p w14:paraId="6962943F" w14:textId="2EB908B5" w:rsidR="00376D12" w:rsidRDefault="00376D12" w:rsidP="00B146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Having discussed the law and the rationale behind the continuing witness rule, I think it is appropriate to discuss some practical considerations – and to make a bit of a confession</w:t>
      </w:r>
    </w:p>
    <w:p w14:paraId="2A892D7C" w14:textId="68DDE825" w:rsidR="00376D12" w:rsidRDefault="00376D12" w:rsidP="00B146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I do not allow surveillance videos to go out with the jury.</w:t>
      </w:r>
    </w:p>
    <w:p w14:paraId="7116147E" w14:textId="72909AA9" w:rsidR="00376D12" w:rsidRDefault="00376D12" w:rsidP="00B146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 do think it places undue influence on that piece of evidence to the exclusion of all other evidence</w:t>
      </w:r>
    </w:p>
    <w:p w14:paraId="44604789" w14:textId="6FCEE50F" w:rsidR="00376D12" w:rsidRDefault="00376D12" w:rsidP="00376D1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We have all heard about sensational things that were caught on video – do you listen for what the witnesses said or do you watch the video like a football official trying to decide if the receiver made the catch</w:t>
      </w:r>
      <w:r w:rsidR="007E03AF">
        <w:rPr>
          <w:rFonts w:eastAsia="Arial"/>
          <w:bCs/>
          <w:color w:val="auto"/>
          <w:kern w:val="0"/>
          <w:sz w:val="28"/>
          <w:szCs w:val="28"/>
          <w14:ligatures w14:val="none"/>
        </w:rPr>
        <w:t xml:space="preserve"> </w:t>
      </w:r>
      <w:r w:rsidR="007E03AF">
        <w:rPr>
          <w:rFonts w:eastAsia="Arial"/>
          <w:bCs/>
          <w:color w:val="auto"/>
          <w:kern w:val="0"/>
          <w:sz w:val="28"/>
          <w:szCs w:val="28"/>
          <w14:ligatures w14:val="none"/>
        </w:rPr>
        <w:lastRenderedPageBreak/>
        <w:t>or had two feet inbounds</w:t>
      </w:r>
      <w:r>
        <w:rPr>
          <w:rFonts w:eastAsia="Arial"/>
          <w:bCs/>
          <w:color w:val="auto"/>
          <w:kern w:val="0"/>
          <w:sz w:val="28"/>
          <w:szCs w:val="28"/>
          <w14:ligatures w14:val="none"/>
        </w:rPr>
        <w:t>?  You back that thing up and go frame by frame, don’t you?  I do and I freely admit it.</w:t>
      </w:r>
    </w:p>
    <w:p w14:paraId="3816510F" w14:textId="5A836A8B" w:rsidR="00376D12" w:rsidRDefault="00376D12" w:rsidP="00376D1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Second – and more importantly – I do not know how you send a surveillance video out with the jury without also sending a computer or some other device that allows them to play the video</w:t>
      </w:r>
    </w:p>
    <w:p w14:paraId="26B355B6" w14:textId="6BAA696E" w:rsidR="00376D12" w:rsidRDefault="00376D12" w:rsidP="00376D1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You may recall from prior episodes that I do not allow the jurors to keep their own cell phones during their jury service – it seems preposterous to me that I would allow a laptop computer to go out with them!</w:t>
      </w:r>
    </w:p>
    <w:p w14:paraId="7F6F5475" w14:textId="56380CAE" w:rsidR="00376D12" w:rsidRDefault="00376D12" w:rsidP="00376D1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Now, there is another reality that we need to share with you.  If the jurors asked to view the video after they retired to deliberate, I would </w:t>
      </w:r>
      <w:r>
        <w:rPr>
          <w:rFonts w:eastAsia="Arial"/>
          <w:b/>
          <w:i/>
          <w:iCs/>
          <w:color w:val="auto"/>
          <w:kern w:val="0"/>
          <w:sz w:val="28"/>
          <w:szCs w:val="28"/>
          <w14:ligatures w14:val="none"/>
        </w:rPr>
        <w:t>absolutely</w:t>
      </w:r>
      <w:r>
        <w:rPr>
          <w:rFonts w:eastAsia="Arial"/>
          <w:bCs/>
          <w:color w:val="auto"/>
          <w:kern w:val="0"/>
          <w:sz w:val="28"/>
          <w:szCs w:val="28"/>
          <w14:ligatures w14:val="none"/>
        </w:rPr>
        <w:t xml:space="preserve"> allow them to return to the courtroom – in the presence of the parties – and view the video as often as they would like.</w:t>
      </w:r>
    </w:p>
    <w:p w14:paraId="0D948926" w14:textId="1624A038" w:rsidR="0010455C" w:rsidRDefault="0010455C" w:rsidP="0010455C">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 have even allowed the jurors to leave the jury box and gather around the monitors when they asked to do so</w:t>
      </w:r>
    </w:p>
    <w:p w14:paraId="62F2C480" w14:textId="4A70B209" w:rsidR="0010455C" w:rsidRPr="00376D12" w:rsidRDefault="0010455C" w:rsidP="0010455C">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So I do not believe that it is the viewing of the exhibit that is prohibited – it is facilitating that viewing that I have a problem with.</w:t>
      </w:r>
    </w:p>
    <w:p w14:paraId="58FE9372" w14:textId="154A95D4" w:rsidR="00A27AD2" w:rsidRDefault="00000000" w:rsidP="00B146E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lastRenderedPageBreak/>
        <w:pict w14:anchorId="2E2B857D">
          <v:rect id="_x0000_i1033" style="width:0;height:1.5pt" o:hralign="center" o:hrstd="t" o:hr="t" fillcolor="#a0a0a0" stroked="f"/>
        </w:pict>
      </w:r>
    </w:p>
    <w:p w14:paraId="5A6691D0" w14:textId="0214F09F" w:rsidR="00276C1B" w:rsidRDefault="00276C1B" w:rsidP="00CA08D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One more practice point on the topic of the Continuing Witness Rule.</w:t>
      </w:r>
    </w:p>
    <w:p w14:paraId="0A1F7B2F" w14:textId="14C2458C" w:rsidR="00276C1B" w:rsidRDefault="00276C1B" w:rsidP="00276C1B">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At the trial, I charge the jury and allow them to return to the jury r</w:t>
      </w:r>
      <w:r w:rsidR="007E03AF">
        <w:rPr>
          <w:rFonts w:eastAsia="Arial"/>
          <w:bCs/>
          <w:color w:val="auto"/>
          <w:kern w:val="0"/>
          <w:sz w:val="28"/>
          <w:szCs w:val="28"/>
          <w14:ligatures w14:val="none"/>
        </w:rPr>
        <w:t>oom</w:t>
      </w:r>
      <w:r>
        <w:rPr>
          <w:rFonts w:eastAsia="Arial"/>
          <w:bCs/>
          <w:color w:val="auto"/>
          <w:kern w:val="0"/>
          <w:sz w:val="28"/>
          <w:szCs w:val="28"/>
          <w14:ligatures w14:val="none"/>
        </w:rPr>
        <w:t>.  Then, outside of the presence of the jury, I ask the lawyers whether they have any objection to the jury charge as given.  Once I complete that task, I then address the Continuing Witness Rule</w:t>
      </w:r>
    </w:p>
    <w:p w14:paraId="3768595B" w14:textId="2679F8B2" w:rsidR="00276C1B" w:rsidRDefault="00276C1B" w:rsidP="00276C1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Again, the jury is out but all parties are present.  This procedure it applicable in both criminal and civil trials.</w:t>
      </w:r>
    </w:p>
    <w:p w14:paraId="1B7023C3" w14:textId="026B83F1" w:rsidR="00276C1B" w:rsidRDefault="00276C1B" w:rsidP="00276C1B">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 ask the parties on the record whether there are any exhibits that should not go out with the jury under the Continuing Witness Rule.  I have them identify by exhibit number which exhibits are going out with the jury and hear any arguments on that point.  Then, after ruling, I put on the record that I am sending out the indictment (criminal case), written jury charges, a verdict form and then I list the exhibits that are being delivered to the jury.</w:t>
      </w:r>
    </w:p>
    <w:p w14:paraId="3E4CA214" w14:textId="77777777" w:rsidR="00276C1B" w:rsidRDefault="00276C1B" w:rsidP="00276C1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r>
      <w:r>
        <w:rPr>
          <w:rFonts w:eastAsia="Arial"/>
          <w:bCs/>
          <w:color w:val="auto"/>
          <w:kern w:val="0"/>
          <w:sz w:val="28"/>
          <w:szCs w:val="28"/>
          <w14:ligatures w14:val="none"/>
        </w:rPr>
        <w:tab/>
      </w:r>
    </w:p>
    <w:p w14:paraId="3963D9F4" w14:textId="2CF9852D" w:rsidR="00276C1B" w:rsidRDefault="00276C1B" w:rsidP="00276C1B">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Occasionally, I just list the exhibits that are </w:t>
      </w:r>
      <w:r>
        <w:rPr>
          <w:rFonts w:eastAsia="Arial"/>
          <w:b/>
          <w:i/>
          <w:iCs/>
          <w:color w:val="auto"/>
          <w:kern w:val="0"/>
          <w:sz w:val="28"/>
          <w:szCs w:val="28"/>
          <w14:ligatures w14:val="none"/>
        </w:rPr>
        <w:t>not</w:t>
      </w:r>
      <w:r>
        <w:rPr>
          <w:rFonts w:eastAsia="Arial"/>
          <w:bCs/>
          <w:color w:val="auto"/>
          <w:kern w:val="0"/>
          <w:sz w:val="28"/>
          <w:szCs w:val="28"/>
          <w14:ligatures w14:val="none"/>
        </w:rPr>
        <w:t xml:space="preserve"> going to be delivered to the jury if that list is shorter – I am not trying to list dozens of exhibits </w:t>
      </w:r>
      <w:r w:rsidR="002F3A9B">
        <w:rPr>
          <w:rFonts w:eastAsia="Arial"/>
          <w:bCs/>
          <w:color w:val="auto"/>
          <w:kern w:val="0"/>
          <w:sz w:val="28"/>
          <w:szCs w:val="28"/>
          <w14:ligatures w14:val="none"/>
        </w:rPr>
        <w:t>that are</w:t>
      </w:r>
      <w:r>
        <w:rPr>
          <w:rFonts w:eastAsia="Arial"/>
          <w:bCs/>
          <w:color w:val="auto"/>
          <w:kern w:val="0"/>
          <w:sz w:val="28"/>
          <w:szCs w:val="28"/>
          <w14:ligatures w14:val="none"/>
        </w:rPr>
        <w:t xml:space="preserve"> going out to the jury</w:t>
      </w:r>
    </w:p>
    <w:p w14:paraId="1E5F8B87" w14:textId="58335746" w:rsidR="00276C1B" w:rsidRDefault="00276C1B" w:rsidP="00276C1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There is one additional positive byproduct of this procedure – I make sure that my court reporter has possession of all of the exhibits that were introduced.  </w:t>
      </w:r>
    </w:p>
    <w:p w14:paraId="7D58EC74" w14:textId="04B738BD" w:rsidR="00276C1B" w:rsidRPr="00276C1B" w:rsidRDefault="00276C1B" w:rsidP="00276C1B">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You know how lawyers are – sometimes they use the exhibits in closing argument and forget to return them to the court reporter</w:t>
      </w:r>
    </w:p>
    <w:p w14:paraId="3438CFC9" w14:textId="0B1C5E9E" w:rsidR="00CA08DF" w:rsidRDefault="00000000" w:rsidP="00CA08DF">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1E34F40">
          <v:rect id="_x0000_i1034" style="width:0;height:1.5pt" o:hralign="center" o:hrstd="t" o:hr="t" fillcolor="#a0a0a0" stroked="f"/>
        </w:pict>
      </w:r>
    </w:p>
    <w:p w14:paraId="609BF498" w14:textId="59A481AD" w:rsidR="00E078AF" w:rsidRDefault="00E078AF"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So </w:t>
      </w:r>
      <w:r w:rsidR="00CA08DF">
        <w:rPr>
          <w:rFonts w:eastAsia="Arial"/>
          <w:bCs/>
          <w:color w:val="auto"/>
          <w:kern w:val="0"/>
          <w:sz w:val="28"/>
          <w:szCs w:val="28"/>
          <w14:ligatures w14:val="none"/>
        </w:rPr>
        <w:t>that’s all for today’s discussion of</w:t>
      </w:r>
      <w:r w:rsidR="00276C1B">
        <w:rPr>
          <w:rFonts w:eastAsia="Arial"/>
          <w:bCs/>
          <w:color w:val="auto"/>
          <w:kern w:val="0"/>
          <w:sz w:val="28"/>
          <w:szCs w:val="28"/>
          <w14:ligatures w14:val="none"/>
        </w:rPr>
        <w:t xml:space="preserve"> the Continuing Witness Rule</w:t>
      </w:r>
    </w:p>
    <w:p w14:paraId="519462CF" w14:textId="0EAC1299" w:rsidR="00CA08DF" w:rsidRPr="00276C1B" w:rsidRDefault="00CA08DF" w:rsidP="00DC02E1">
      <w:pPr>
        <w:spacing w:before="120" w:after="240" w:line="480" w:lineRule="auto"/>
        <w:ind w:right="720"/>
        <w:rPr>
          <w:rFonts w:eastAsia="Arial"/>
          <w:bCs/>
          <w:i/>
          <w:color w:val="auto"/>
          <w:kern w:val="0"/>
          <w:sz w:val="28"/>
          <w:szCs w:val="28"/>
          <w14:ligatures w14:val="none"/>
        </w:rPr>
      </w:pPr>
      <w:r>
        <w:rPr>
          <w:rFonts w:eastAsia="Arial"/>
          <w:bCs/>
          <w:i/>
          <w:color w:val="auto"/>
          <w:kern w:val="0"/>
          <w:sz w:val="28"/>
          <w:szCs w:val="28"/>
          <w14:ligatures w14:val="none"/>
        </w:rPr>
        <w:t xml:space="preserve">Remember, </w:t>
      </w:r>
      <w:r w:rsidR="00276C1B">
        <w:rPr>
          <w:rFonts w:eastAsia="Arial"/>
          <w:bCs/>
          <w:i/>
          <w:color w:val="auto"/>
          <w:kern w:val="0"/>
          <w:sz w:val="28"/>
          <w:szCs w:val="28"/>
          <w14:ligatures w14:val="none"/>
        </w:rPr>
        <w:t xml:space="preserve">this Rule has </w:t>
      </w:r>
      <w:r w:rsidR="00276C1B">
        <w:rPr>
          <w:rFonts w:eastAsia="Arial"/>
          <w:b/>
          <w:i/>
          <w:color w:val="auto"/>
          <w:kern w:val="0"/>
          <w:sz w:val="28"/>
          <w:szCs w:val="28"/>
          <w14:ligatures w14:val="none"/>
        </w:rPr>
        <w:t>no bearing</w:t>
      </w:r>
      <w:r w:rsidR="00276C1B">
        <w:rPr>
          <w:rFonts w:eastAsia="Arial"/>
          <w:bCs/>
          <w:i/>
          <w:color w:val="auto"/>
          <w:kern w:val="0"/>
          <w:sz w:val="28"/>
          <w:szCs w:val="28"/>
          <w14:ligatures w14:val="none"/>
        </w:rPr>
        <w:t xml:space="preserve"> on the admissibility of any exhibit – it only is a rule that dictates which of the admitted exhibits are delivered to the jury for their use in the jury room</w:t>
      </w:r>
    </w:p>
    <w:p w14:paraId="3BD961E8" w14:textId="7C9F7E41" w:rsidR="00CA7A2F" w:rsidRDefault="00C77DC5" w:rsidP="00CA7A2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 episode notes include the charts of </w:t>
      </w:r>
      <w:r w:rsidR="002F3A9B">
        <w:rPr>
          <w:rFonts w:eastAsia="Arial"/>
          <w:bCs/>
          <w:color w:val="auto"/>
          <w:kern w:val="0"/>
          <w:sz w:val="28"/>
          <w:szCs w:val="28"/>
          <w14:ligatures w14:val="none"/>
        </w:rPr>
        <w:t>exhibits</w:t>
      </w:r>
      <w:r>
        <w:rPr>
          <w:rFonts w:eastAsia="Arial"/>
          <w:bCs/>
          <w:color w:val="auto"/>
          <w:kern w:val="0"/>
          <w:sz w:val="28"/>
          <w:szCs w:val="28"/>
          <w14:ligatures w14:val="none"/>
        </w:rPr>
        <w:t xml:space="preserve"> that can and cannot go out with the jury and they can be found at goodjudgepod.com</w:t>
      </w:r>
    </w:p>
    <w:p w14:paraId="28936825" w14:textId="0CF228CC" w:rsidR="00CA7A2F" w:rsidRPr="00C77DC5" w:rsidRDefault="00CA7A2F" w:rsidP="00CA7A2F">
      <w:pPr>
        <w:spacing w:before="120" w:after="240" w:line="480" w:lineRule="auto"/>
        <w:ind w:right="720"/>
        <w:rPr>
          <w:rFonts w:eastAsia="Arial"/>
          <w:bCs/>
          <w:i/>
          <w:iCs/>
          <w:color w:val="auto"/>
          <w:kern w:val="0"/>
          <w:sz w:val="28"/>
          <w:szCs w:val="28"/>
          <w14:ligatures w14:val="none"/>
        </w:rPr>
      </w:pPr>
      <w:r w:rsidRPr="00C77DC5">
        <w:rPr>
          <w:rFonts w:eastAsia="Arial"/>
          <w:bCs/>
          <w:i/>
          <w:iCs/>
          <w:color w:val="auto"/>
          <w:kern w:val="0"/>
          <w:sz w:val="28"/>
          <w:szCs w:val="28"/>
          <w14:ligatures w14:val="none"/>
        </w:rPr>
        <w:t xml:space="preserve">Send us your thoughts and ideas at </w:t>
      </w:r>
      <w:hyperlink r:id="rId9" w:history="1">
        <w:r w:rsidRPr="00C77DC5">
          <w:rPr>
            <w:rStyle w:val="Hyperlink"/>
            <w:rFonts w:eastAsia="Arial"/>
            <w:bCs/>
            <w:i/>
            <w:iCs/>
            <w:kern w:val="0"/>
            <w:sz w:val="28"/>
            <w:szCs w:val="28"/>
            <w14:ligatures w14:val="none"/>
          </w:rPr>
          <w:t>goodjudgepod@gmail.com</w:t>
        </w:r>
      </w:hyperlink>
    </w:p>
    <w:p w14:paraId="7F64B1E1" w14:textId="65C8A17B" w:rsidR="00C77DC5" w:rsidRDefault="00C77DC5" w:rsidP="00C77DC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The time has come for music trivia and I have a quick story to tell before Tain launches into what has become a wildly popular portion of </w:t>
      </w:r>
      <w:r w:rsidR="00F44F20">
        <w:rPr>
          <w:rFonts w:eastAsia="Arial"/>
          <w:bCs/>
          <w:color w:val="auto"/>
          <w:kern w:val="0"/>
          <w:sz w:val="28"/>
          <w:szCs w:val="28"/>
          <w14:ligatures w14:val="none"/>
        </w:rPr>
        <w:t xml:space="preserve">our </w:t>
      </w:r>
      <w:r>
        <w:rPr>
          <w:rFonts w:eastAsia="Arial"/>
          <w:bCs/>
          <w:color w:val="auto"/>
          <w:kern w:val="0"/>
          <w:sz w:val="28"/>
          <w:szCs w:val="28"/>
          <w14:ligatures w14:val="none"/>
        </w:rPr>
        <w:t>episodes.  I received a text message from the man who we have always recognized as our primary listener</w:t>
      </w:r>
      <w:r w:rsidR="002F3A9B">
        <w:rPr>
          <w:rFonts w:eastAsia="Arial"/>
          <w:bCs/>
          <w:color w:val="auto"/>
          <w:kern w:val="0"/>
          <w:sz w:val="28"/>
          <w:szCs w:val="28"/>
          <w14:ligatures w14:val="none"/>
        </w:rPr>
        <w:t xml:space="preserve">, a man </w:t>
      </w:r>
      <w:r w:rsidR="00F44F20">
        <w:rPr>
          <w:rFonts w:eastAsia="Arial"/>
          <w:bCs/>
          <w:color w:val="auto"/>
          <w:kern w:val="0"/>
          <w:sz w:val="28"/>
          <w:szCs w:val="28"/>
          <w14:ligatures w14:val="none"/>
        </w:rPr>
        <w:t xml:space="preserve">who is an FOP </w:t>
      </w:r>
      <w:r w:rsidR="002F3A9B">
        <w:rPr>
          <w:rFonts w:eastAsia="Arial"/>
          <w:bCs/>
          <w:color w:val="auto"/>
          <w:kern w:val="0"/>
          <w:sz w:val="28"/>
          <w:szCs w:val="28"/>
          <w14:ligatures w14:val="none"/>
        </w:rPr>
        <w:t xml:space="preserve">and </w:t>
      </w:r>
      <w:r w:rsidR="00F44F20">
        <w:rPr>
          <w:rFonts w:eastAsia="Arial"/>
          <w:bCs/>
          <w:color w:val="auto"/>
          <w:kern w:val="0"/>
          <w:sz w:val="28"/>
          <w:szCs w:val="28"/>
          <w14:ligatures w14:val="none"/>
        </w:rPr>
        <w:t>who has made a guest appearance on the podcast</w:t>
      </w:r>
      <w:r>
        <w:rPr>
          <w:rFonts w:eastAsia="Arial"/>
          <w:bCs/>
          <w:color w:val="auto"/>
          <w:kern w:val="0"/>
          <w:sz w:val="28"/>
          <w:szCs w:val="28"/>
          <w14:ligatures w14:val="none"/>
        </w:rPr>
        <w:t xml:space="preserve">.  He knows who he is and we know who he is.  </w:t>
      </w:r>
      <w:r w:rsidR="00E809A6">
        <w:rPr>
          <w:rFonts w:eastAsia="Arial"/>
          <w:bCs/>
          <w:color w:val="auto"/>
          <w:kern w:val="0"/>
          <w:sz w:val="28"/>
          <w:szCs w:val="28"/>
          <w14:ligatures w14:val="none"/>
        </w:rPr>
        <w:t>I need to read the text message</w:t>
      </w:r>
      <w:r w:rsidR="002F3A9B">
        <w:rPr>
          <w:rFonts w:eastAsia="Arial"/>
          <w:bCs/>
          <w:color w:val="auto"/>
          <w:kern w:val="0"/>
          <w:sz w:val="28"/>
          <w:szCs w:val="28"/>
          <w14:ligatures w14:val="none"/>
        </w:rPr>
        <w:t xml:space="preserve"> I received from him</w:t>
      </w:r>
      <w:r w:rsidR="00E809A6">
        <w:rPr>
          <w:rFonts w:eastAsia="Arial"/>
          <w:bCs/>
          <w:color w:val="auto"/>
          <w:kern w:val="0"/>
          <w:sz w:val="28"/>
          <w:szCs w:val="28"/>
          <w14:ligatures w14:val="none"/>
        </w:rPr>
        <w:t xml:space="preserve"> verbatim.  “When are we going to get some Taylor Swift music trivia?  I’m sick of 70’s rock stuff.”  </w:t>
      </w:r>
    </w:p>
    <w:p w14:paraId="7FD7078C" w14:textId="15857702" w:rsidR="00E809A6" w:rsidRDefault="00E809A6" w:rsidP="00C77DC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Two responses – </w:t>
      </w:r>
      <w:r w:rsidR="009218E4">
        <w:rPr>
          <w:rFonts w:eastAsia="Arial"/>
          <w:bCs/>
          <w:color w:val="auto"/>
          <w:kern w:val="0"/>
          <w:sz w:val="28"/>
          <w:szCs w:val="28"/>
          <w14:ligatures w14:val="none"/>
        </w:rPr>
        <w:t>You could have knocked me over with a feather when I learned</w:t>
      </w:r>
      <w:r>
        <w:rPr>
          <w:rFonts w:eastAsia="Arial"/>
          <w:bCs/>
          <w:color w:val="auto"/>
          <w:kern w:val="0"/>
          <w:sz w:val="28"/>
          <w:szCs w:val="28"/>
          <w14:ligatures w14:val="none"/>
        </w:rPr>
        <w:t xml:space="preserve"> that this particular man was a </w:t>
      </w:r>
      <w:proofErr w:type="spellStart"/>
      <w:r>
        <w:rPr>
          <w:rFonts w:eastAsia="Arial"/>
          <w:bCs/>
          <w:color w:val="auto"/>
          <w:kern w:val="0"/>
          <w:sz w:val="28"/>
          <w:szCs w:val="28"/>
          <w14:ligatures w14:val="none"/>
        </w:rPr>
        <w:t>Swiftie</w:t>
      </w:r>
      <w:proofErr w:type="spellEnd"/>
      <w:r>
        <w:rPr>
          <w:rFonts w:eastAsia="Arial"/>
          <w:bCs/>
          <w:color w:val="auto"/>
          <w:kern w:val="0"/>
          <w:sz w:val="28"/>
          <w:szCs w:val="28"/>
          <w14:ligatures w14:val="none"/>
        </w:rPr>
        <w:t xml:space="preserve">. </w:t>
      </w:r>
      <w:r w:rsidR="009218E4">
        <w:rPr>
          <w:rFonts w:eastAsia="Arial"/>
          <w:bCs/>
          <w:color w:val="auto"/>
          <w:kern w:val="0"/>
          <w:sz w:val="28"/>
          <w:szCs w:val="28"/>
          <w14:ligatures w14:val="none"/>
        </w:rPr>
        <w:t>(He told me he has attended her last 3 concerts in Atlanta and, to prove it, he sent me photos of Taylor from the concert).  Second, we are nothing if not devoted to our listeners here on the Good Judge-</w:t>
      </w:r>
      <w:proofErr w:type="spellStart"/>
      <w:r w:rsidR="009218E4">
        <w:rPr>
          <w:rFonts w:eastAsia="Arial"/>
          <w:bCs/>
          <w:color w:val="auto"/>
          <w:kern w:val="0"/>
          <w:sz w:val="28"/>
          <w:szCs w:val="28"/>
          <w14:ligatures w14:val="none"/>
        </w:rPr>
        <w:t>ment</w:t>
      </w:r>
      <w:proofErr w:type="spellEnd"/>
      <w:r w:rsidR="009218E4">
        <w:rPr>
          <w:rFonts w:eastAsia="Arial"/>
          <w:bCs/>
          <w:color w:val="auto"/>
          <w:kern w:val="0"/>
          <w:sz w:val="28"/>
          <w:szCs w:val="28"/>
          <w14:ligatures w14:val="none"/>
        </w:rPr>
        <w:t xml:space="preserve"> Podcast.  With that preamble, here’s Tain with today’s</w:t>
      </w:r>
      <w:r w:rsidR="00F44F20">
        <w:rPr>
          <w:rFonts w:eastAsia="Arial"/>
          <w:bCs/>
          <w:color w:val="auto"/>
          <w:kern w:val="0"/>
          <w:sz w:val="28"/>
          <w:szCs w:val="28"/>
          <w14:ligatures w14:val="none"/>
        </w:rPr>
        <w:t xml:space="preserve"> Taylor Swift</w:t>
      </w:r>
      <w:r w:rsidR="009218E4">
        <w:rPr>
          <w:rFonts w:eastAsia="Arial"/>
          <w:bCs/>
          <w:color w:val="auto"/>
          <w:kern w:val="0"/>
          <w:sz w:val="28"/>
          <w:szCs w:val="28"/>
          <w14:ligatures w14:val="none"/>
        </w:rPr>
        <w:t xml:space="preserve"> music trivia</w:t>
      </w:r>
      <w:r w:rsidR="00F44F20">
        <w:rPr>
          <w:rFonts w:eastAsia="Arial"/>
          <w:bCs/>
          <w:color w:val="auto"/>
          <w:kern w:val="0"/>
          <w:sz w:val="28"/>
          <w:szCs w:val="28"/>
          <w14:ligatures w14:val="none"/>
        </w:rPr>
        <w:t>.</w:t>
      </w:r>
    </w:p>
    <w:p w14:paraId="14B80876" w14:textId="733239E6" w:rsidR="00F44F20" w:rsidRPr="00C77DC5" w:rsidRDefault="00F44F20" w:rsidP="00C77DC5">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628DC101">
          <v:rect id="_x0000_i1208" style="width:0;height:1.5pt" o:hralign="center" o:hrstd="t" o:hr="t" fillcolor="#a0a0a0" stroked="f"/>
        </w:pict>
      </w:r>
    </w:p>
    <w:p w14:paraId="29AC4946" w14:textId="57A1CBFF" w:rsidR="00EB12E3" w:rsidRDefault="009218E4" w:rsidP="00EB12E3">
      <w:pPr>
        <w:spacing w:before="120" w:after="240" w:line="480" w:lineRule="auto"/>
        <w:ind w:right="720" w:firstLine="720"/>
        <w:rPr>
          <w:rFonts w:eastAsia="Arial"/>
          <w:bCs/>
          <w:i/>
          <w:iCs/>
          <w:color w:val="auto"/>
          <w:kern w:val="0"/>
          <w:sz w:val="28"/>
          <w:szCs w:val="28"/>
          <w14:ligatures w14:val="none"/>
        </w:rPr>
      </w:pPr>
      <w:r>
        <w:rPr>
          <w:rFonts w:eastAsia="Arial"/>
          <w:bCs/>
          <w:i/>
          <w:iCs/>
          <w:color w:val="auto"/>
          <w:kern w:val="0"/>
          <w:sz w:val="28"/>
          <w:szCs w:val="28"/>
          <w14:ligatures w14:val="none"/>
        </w:rPr>
        <w:t xml:space="preserve">Wow – I am truly astonished that he is a </w:t>
      </w:r>
      <w:proofErr w:type="spellStart"/>
      <w:r>
        <w:rPr>
          <w:rFonts w:eastAsia="Arial"/>
          <w:bCs/>
          <w:i/>
          <w:iCs/>
          <w:color w:val="auto"/>
          <w:kern w:val="0"/>
          <w:sz w:val="28"/>
          <w:szCs w:val="28"/>
          <w14:ligatures w14:val="none"/>
        </w:rPr>
        <w:t>Swiftie</w:t>
      </w:r>
      <w:proofErr w:type="spellEnd"/>
      <w:r>
        <w:rPr>
          <w:rFonts w:eastAsia="Arial"/>
          <w:bCs/>
          <w:i/>
          <w:iCs/>
          <w:color w:val="auto"/>
          <w:kern w:val="0"/>
          <w:sz w:val="28"/>
          <w:szCs w:val="28"/>
          <w14:ligatures w14:val="none"/>
        </w:rPr>
        <w:t>.</w:t>
      </w:r>
      <w:r w:rsidR="00EB12E3">
        <w:rPr>
          <w:rFonts w:eastAsia="Arial"/>
          <w:bCs/>
          <w:i/>
          <w:iCs/>
          <w:color w:val="auto"/>
          <w:kern w:val="0"/>
          <w:sz w:val="28"/>
          <w:szCs w:val="28"/>
          <w14:ligatures w14:val="none"/>
        </w:rPr>
        <w:t xml:space="preserve">  </w:t>
      </w:r>
      <w:r w:rsidR="00CF1BBC">
        <w:rPr>
          <w:rFonts w:eastAsia="Arial"/>
          <w:bCs/>
          <w:i/>
          <w:iCs/>
          <w:color w:val="auto"/>
          <w:kern w:val="0"/>
          <w:sz w:val="28"/>
          <w:szCs w:val="28"/>
          <w14:ligatures w14:val="none"/>
        </w:rPr>
        <w:t>Anyway, w</w:t>
      </w:r>
      <w:r w:rsidR="00EB12E3">
        <w:rPr>
          <w:rFonts w:eastAsia="Arial"/>
          <w:bCs/>
          <w:i/>
          <w:iCs/>
          <w:color w:val="auto"/>
          <w:kern w:val="0"/>
          <w:sz w:val="28"/>
          <w:szCs w:val="28"/>
          <w14:ligatures w14:val="none"/>
        </w:rPr>
        <w:t xml:space="preserve">e have done a small dose of Taylor Swift trivia a few episodes ago but we will try to </w:t>
      </w:r>
      <w:r w:rsidR="00EB12E3">
        <w:rPr>
          <w:rFonts w:eastAsia="Arial"/>
          <w:bCs/>
          <w:i/>
          <w:iCs/>
          <w:color w:val="auto"/>
          <w:kern w:val="0"/>
          <w:sz w:val="28"/>
          <w:szCs w:val="28"/>
          <w14:ligatures w14:val="none"/>
        </w:rPr>
        <w:lastRenderedPageBreak/>
        <w:t>find some trivia that does not involve Taylor’s</w:t>
      </w:r>
      <w:r w:rsidR="00F44F20">
        <w:rPr>
          <w:rFonts w:eastAsia="Arial"/>
          <w:bCs/>
          <w:i/>
          <w:iCs/>
          <w:color w:val="auto"/>
          <w:kern w:val="0"/>
          <w:sz w:val="28"/>
          <w:szCs w:val="28"/>
          <w14:ligatures w14:val="none"/>
        </w:rPr>
        <w:t xml:space="preserve"> current</w:t>
      </w:r>
      <w:r w:rsidR="00EB12E3">
        <w:rPr>
          <w:rFonts w:eastAsia="Arial"/>
          <w:bCs/>
          <w:i/>
          <w:iCs/>
          <w:color w:val="auto"/>
          <w:kern w:val="0"/>
          <w:sz w:val="28"/>
          <w:szCs w:val="28"/>
          <w14:ligatures w14:val="none"/>
        </w:rPr>
        <w:t xml:space="preserve"> love life.  Shout out Travis Kelce.</w:t>
      </w:r>
    </w:p>
    <w:p w14:paraId="622C77ED" w14:textId="4E727334" w:rsidR="00EB12E3" w:rsidRDefault="00EB12E3" w:rsidP="00EB12E3">
      <w:pPr>
        <w:spacing w:before="120" w:after="240" w:line="480" w:lineRule="auto"/>
        <w:ind w:right="720" w:firstLine="720"/>
        <w:rPr>
          <w:rFonts w:eastAsia="Arial"/>
          <w:bCs/>
          <w:i/>
          <w:iCs/>
          <w:color w:val="auto"/>
          <w:kern w:val="0"/>
          <w:sz w:val="28"/>
          <w:szCs w:val="28"/>
          <w14:ligatures w14:val="none"/>
        </w:rPr>
      </w:pPr>
      <w:r>
        <w:rPr>
          <w:rFonts w:eastAsia="Arial"/>
          <w:bCs/>
          <w:i/>
          <w:iCs/>
          <w:color w:val="auto"/>
          <w:kern w:val="0"/>
          <w:sz w:val="28"/>
          <w:szCs w:val="28"/>
          <w14:ligatures w14:val="none"/>
        </w:rPr>
        <w:t>You probably know that Taylor Swift began her career as a country music star.  And we have covered the fact that her first name, Taylor, was an homage to the great James Tayor.</w:t>
      </w:r>
      <w:r w:rsidR="00292514">
        <w:rPr>
          <w:rFonts w:eastAsia="Arial"/>
          <w:bCs/>
          <w:i/>
          <w:iCs/>
          <w:color w:val="auto"/>
          <w:kern w:val="0"/>
          <w:sz w:val="28"/>
          <w:szCs w:val="28"/>
          <w14:ligatures w14:val="none"/>
        </w:rPr>
        <w:t xml:space="preserve">  </w:t>
      </w:r>
      <w:r w:rsidR="008344B8">
        <w:rPr>
          <w:rFonts w:eastAsia="Arial"/>
          <w:bCs/>
          <w:i/>
          <w:iCs/>
          <w:color w:val="auto"/>
          <w:kern w:val="0"/>
          <w:sz w:val="28"/>
          <w:szCs w:val="28"/>
          <w14:ligatures w14:val="none"/>
        </w:rPr>
        <w:t xml:space="preserve">Do you know her middle name?  It is Alison, named for her aunt.  </w:t>
      </w:r>
      <w:r w:rsidR="00292514">
        <w:rPr>
          <w:rFonts w:eastAsia="Arial"/>
          <w:bCs/>
          <w:i/>
          <w:iCs/>
          <w:color w:val="auto"/>
          <w:kern w:val="0"/>
          <w:sz w:val="28"/>
          <w:szCs w:val="28"/>
          <w14:ligatures w14:val="none"/>
        </w:rPr>
        <w:t xml:space="preserve">Taylor is legendary for writing songs about boyfriends or former boyfriends.  In her incredibly popular song “We are Never Ever Getting Back Together,” who was the man she was referencing in that song?  Give up?  Jake Gyllenhaal.  I told you that the song was incredibly popular.  Did you know that it earned her a Guinness World Record?  That song reached #1 on the iTunes singles chart just 50 minutes after it was released.  50 </w:t>
      </w:r>
      <w:r w:rsidR="00292514" w:rsidRPr="00F44F20">
        <w:rPr>
          <w:rFonts w:eastAsia="Arial"/>
          <w:bCs/>
          <w:i/>
          <w:iCs/>
          <w:color w:val="auto"/>
          <w:kern w:val="0"/>
          <w:sz w:val="28"/>
          <w:szCs w:val="28"/>
          <w:u w:val="single"/>
          <w14:ligatures w14:val="none"/>
        </w:rPr>
        <w:t>minutes</w:t>
      </w:r>
      <w:r w:rsidR="00292514">
        <w:rPr>
          <w:rFonts w:eastAsia="Arial"/>
          <w:bCs/>
          <w:i/>
          <w:iCs/>
          <w:color w:val="auto"/>
          <w:kern w:val="0"/>
          <w:sz w:val="28"/>
          <w:szCs w:val="28"/>
          <w14:ligatures w14:val="none"/>
        </w:rPr>
        <w:t>!  Wow.</w:t>
      </w:r>
    </w:p>
    <w:p w14:paraId="65F1CB8A" w14:textId="10145442" w:rsidR="008344B8" w:rsidRDefault="008344B8" w:rsidP="00EB12E3">
      <w:pPr>
        <w:spacing w:before="120" w:after="240" w:line="480" w:lineRule="auto"/>
        <w:ind w:right="720" w:firstLine="720"/>
        <w:rPr>
          <w:rFonts w:eastAsia="Arial"/>
          <w:bCs/>
          <w:i/>
          <w:iCs/>
          <w:color w:val="auto"/>
          <w:kern w:val="0"/>
          <w:sz w:val="28"/>
          <w:szCs w:val="28"/>
          <w14:ligatures w14:val="none"/>
        </w:rPr>
      </w:pPr>
      <w:r>
        <w:rPr>
          <w:rFonts w:eastAsia="Arial"/>
          <w:bCs/>
          <w:i/>
          <w:iCs/>
          <w:color w:val="auto"/>
          <w:kern w:val="0"/>
          <w:sz w:val="28"/>
          <w:szCs w:val="28"/>
          <w14:ligatures w14:val="none"/>
        </w:rPr>
        <w:t>In what became a rather famous, or infamous, moment of live television, Taylor was receiving an award at the Video Music Awards when she was interrupted by a famous rapper.  This incident spawned meme’s all over the internet.  The rapper who interrupted her was Kanye</w:t>
      </w:r>
      <w:r w:rsidR="0052530D">
        <w:rPr>
          <w:rFonts w:eastAsia="Arial"/>
          <w:bCs/>
          <w:i/>
          <w:iCs/>
          <w:color w:val="auto"/>
          <w:kern w:val="0"/>
          <w:sz w:val="28"/>
          <w:szCs w:val="28"/>
          <w14:ligatures w14:val="none"/>
        </w:rPr>
        <w:t xml:space="preserve"> West who was offended that his wife, Beyonce, did not receive the award.  Here’s the question – what year did that even occur?  If you are like me, time flies and while is seems recent, it really was not all that recent.  Give up? 2009.</w:t>
      </w:r>
    </w:p>
    <w:p w14:paraId="1275AFC8" w14:textId="485B93C6" w:rsidR="00924ABD" w:rsidRDefault="00924ABD" w:rsidP="00EB12E3">
      <w:pPr>
        <w:spacing w:before="120" w:after="240" w:line="480" w:lineRule="auto"/>
        <w:ind w:right="720" w:firstLine="720"/>
        <w:rPr>
          <w:rFonts w:eastAsia="Arial"/>
          <w:bCs/>
          <w:i/>
          <w:iCs/>
          <w:color w:val="auto"/>
          <w:kern w:val="0"/>
          <w:sz w:val="28"/>
          <w:szCs w:val="28"/>
          <w14:ligatures w14:val="none"/>
        </w:rPr>
      </w:pPr>
      <w:r>
        <w:rPr>
          <w:rFonts w:eastAsia="Arial"/>
          <w:bCs/>
          <w:i/>
          <w:iCs/>
          <w:color w:val="auto"/>
          <w:kern w:val="0"/>
          <w:sz w:val="28"/>
          <w:szCs w:val="28"/>
          <w14:ligatures w14:val="none"/>
        </w:rPr>
        <w:lastRenderedPageBreak/>
        <w:t xml:space="preserve">In October 2006, Taylor made her first broadcast performance of a song on network television.  2 questions – 1) what TV show did she perform on and 2) what song did she perform?  Remember, it was 2006.  Here’s a hint: it was the lead single off of her </w:t>
      </w:r>
      <w:r w:rsidR="004D6CF7">
        <w:rPr>
          <w:rFonts w:eastAsia="Arial"/>
          <w:bCs/>
          <w:i/>
          <w:iCs/>
          <w:color w:val="auto"/>
          <w:kern w:val="0"/>
          <w:sz w:val="28"/>
          <w:szCs w:val="28"/>
          <w14:ligatures w14:val="none"/>
        </w:rPr>
        <w:t>debut</w:t>
      </w:r>
      <w:r>
        <w:rPr>
          <w:rFonts w:eastAsia="Arial"/>
          <w:bCs/>
          <w:i/>
          <w:iCs/>
          <w:color w:val="auto"/>
          <w:kern w:val="0"/>
          <w:sz w:val="28"/>
          <w:szCs w:val="28"/>
          <w14:ligatures w14:val="none"/>
        </w:rPr>
        <w:t xml:space="preserve"> album.  Give up?  The TV show was Good Morning America and the song was </w:t>
      </w:r>
      <w:r w:rsidR="0052530D">
        <w:rPr>
          <w:rFonts w:eastAsia="Arial"/>
          <w:bCs/>
          <w:i/>
          <w:iCs/>
          <w:color w:val="auto"/>
          <w:kern w:val="0"/>
          <w:sz w:val="28"/>
          <w:szCs w:val="28"/>
          <w14:ligatures w14:val="none"/>
        </w:rPr>
        <w:t>“</w:t>
      </w:r>
      <w:r>
        <w:rPr>
          <w:rFonts w:eastAsia="Arial"/>
          <w:bCs/>
          <w:i/>
          <w:iCs/>
          <w:color w:val="auto"/>
          <w:kern w:val="0"/>
          <w:sz w:val="28"/>
          <w:szCs w:val="28"/>
          <w14:ligatures w14:val="none"/>
        </w:rPr>
        <w:t>Tim McGraw.</w:t>
      </w:r>
      <w:r w:rsidR="0052530D">
        <w:rPr>
          <w:rFonts w:eastAsia="Arial"/>
          <w:bCs/>
          <w:i/>
          <w:iCs/>
          <w:color w:val="auto"/>
          <w:kern w:val="0"/>
          <w:sz w:val="28"/>
          <w:szCs w:val="28"/>
          <w14:ligatures w14:val="none"/>
        </w:rPr>
        <w:t>”  She wrote that song as a freshman in high school and even that song was about a boyfriend – her high school boyfriend.</w:t>
      </w:r>
      <w:r w:rsidR="001F08A8">
        <w:rPr>
          <w:rFonts w:eastAsia="Arial"/>
          <w:bCs/>
          <w:i/>
          <w:iCs/>
          <w:color w:val="auto"/>
          <w:kern w:val="0"/>
          <w:sz w:val="28"/>
          <w:szCs w:val="28"/>
          <w14:ligatures w14:val="none"/>
        </w:rPr>
        <w:t xml:space="preserve">  Final Taylor Swift trivia question for today.  Taylor moved to Nashville, TN when she was 14 years old</w:t>
      </w:r>
      <w:r w:rsidR="00224A03">
        <w:rPr>
          <w:rFonts w:eastAsia="Arial"/>
          <w:bCs/>
          <w:i/>
          <w:iCs/>
          <w:color w:val="auto"/>
          <w:kern w:val="0"/>
          <w:sz w:val="28"/>
          <w:szCs w:val="28"/>
          <w14:ligatures w14:val="none"/>
        </w:rPr>
        <w:t xml:space="preserve"> to facilitate her career</w:t>
      </w:r>
      <w:r w:rsidR="001F08A8">
        <w:rPr>
          <w:rFonts w:eastAsia="Arial"/>
          <w:bCs/>
          <w:i/>
          <w:iCs/>
          <w:color w:val="auto"/>
          <w:kern w:val="0"/>
          <w:sz w:val="28"/>
          <w:szCs w:val="28"/>
          <w14:ligatures w14:val="none"/>
        </w:rPr>
        <w:t xml:space="preserve">.  Where was she born and raised prior to age 14?  I would not have guessed it but she was born and raised in </w:t>
      </w:r>
      <w:r w:rsidR="00310B19">
        <w:rPr>
          <w:rFonts w:eastAsia="Arial"/>
          <w:bCs/>
          <w:i/>
          <w:iCs/>
          <w:color w:val="auto"/>
          <w:kern w:val="0"/>
          <w:sz w:val="28"/>
          <w:szCs w:val="28"/>
          <w14:ligatures w14:val="none"/>
        </w:rPr>
        <w:t xml:space="preserve">Reading, </w:t>
      </w:r>
      <w:r w:rsidR="001F08A8">
        <w:rPr>
          <w:rFonts w:eastAsia="Arial"/>
          <w:bCs/>
          <w:i/>
          <w:iCs/>
          <w:color w:val="auto"/>
          <w:kern w:val="0"/>
          <w:sz w:val="28"/>
          <w:szCs w:val="28"/>
          <w14:ligatures w14:val="none"/>
        </w:rPr>
        <w:t xml:space="preserve">Pennsylvania. On a Christmas Tree farm no less.  Who knew?  I bet our primary listener knew all of those answers – still cannot believe he is a </w:t>
      </w:r>
      <w:proofErr w:type="spellStart"/>
      <w:r w:rsidR="001F08A8">
        <w:rPr>
          <w:rFonts w:eastAsia="Arial"/>
          <w:bCs/>
          <w:i/>
          <w:iCs/>
          <w:color w:val="auto"/>
          <w:kern w:val="0"/>
          <w:sz w:val="28"/>
          <w:szCs w:val="28"/>
          <w14:ligatures w14:val="none"/>
        </w:rPr>
        <w:t>Swiftie</w:t>
      </w:r>
      <w:proofErr w:type="spellEnd"/>
      <w:r w:rsidR="001F08A8">
        <w:rPr>
          <w:rFonts w:eastAsia="Arial"/>
          <w:bCs/>
          <w:i/>
          <w:iCs/>
          <w:color w:val="auto"/>
          <w:kern w:val="0"/>
          <w:sz w:val="28"/>
          <w:szCs w:val="28"/>
          <w14:ligatures w14:val="none"/>
        </w:rPr>
        <w:t xml:space="preserve">.  </w:t>
      </w:r>
      <w:r w:rsidR="00CF1BBC">
        <w:rPr>
          <w:rFonts w:eastAsia="Arial"/>
          <w:bCs/>
          <w:i/>
          <w:iCs/>
          <w:color w:val="auto"/>
          <w:kern w:val="0"/>
          <w:sz w:val="28"/>
          <w:szCs w:val="28"/>
          <w14:ligatures w14:val="none"/>
        </w:rPr>
        <w:t xml:space="preserve">Remember, haters </w:t>
      </w:r>
      <w:proofErr w:type="spellStart"/>
      <w:r w:rsidR="00CF1BBC">
        <w:rPr>
          <w:rFonts w:eastAsia="Arial"/>
          <w:bCs/>
          <w:i/>
          <w:iCs/>
          <w:color w:val="auto"/>
          <w:kern w:val="0"/>
          <w:sz w:val="28"/>
          <w:szCs w:val="28"/>
          <w14:ligatures w14:val="none"/>
        </w:rPr>
        <w:t>gonna</w:t>
      </w:r>
      <w:proofErr w:type="spellEnd"/>
      <w:r w:rsidR="00CF1BBC">
        <w:rPr>
          <w:rFonts w:eastAsia="Arial"/>
          <w:bCs/>
          <w:i/>
          <w:iCs/>
          <w:color w:val="auto"/>
          <w:kern w:val="0"/>
          <w:sz w:val="28"/>
          <w:szCs w:val="28"/>
          <w14:ligatures w14:val="none"/>
        </w:rPr>
        <w:t>’ hate – have a great day!</w:t>
      </w:r>
    </w:p>
    <w:p w14:paraId="172E0444" w14:textId="77777777" w:rsidR="007A7B2B" w:rsidRDefault="007A7B2B">
      <w:pPr>
        <w:rPr>
          <w:rFonts w:eastAsia="Arial"/>
          <w:bCs/>
          <w:i/>
          <w:iCs/>
          <w:color w:val="auto"/>
          <w:kern w:val="0"/>
          <w:sz w:val="28"/>
          <w:szCs w:val="28"/>
          <w14:ligatures w14:val="none"/>
        </w:rPr>
      </w:pPr>
    </w:p>
    <w:p w14:paraId="12C3E697" w14:textId="0FE31F22" w:rsidR="00EF7771" w:rsidRDefault="00EF7771">
      <w:pPr>
        <w:rPr>
          <w:rFonts w:eastAsia="Arial"/>
          <w:bCs/>
          <w:i/>
          <w:iCs/>
          <w:color w:val="auto"/>
          <w:kern w:val="0"/>
          <w:sz w:val="28"/>
          <w:szCs w:val="28"/>
          <w14:ligatures w14:val="none"/>
        </w:rPr>
      </w:pPr>
      <w:r>
        <w:rPr>
          <w:rFonts w:eastAsia="Arial"/>
          <w:bCs/>
          <w:i/>
          <w:iCs/>
          <w:color w:val="auto"/>
          <w:kern w:val="0"/>
          <w:sz w:val="28"/>
          <w:szCs w:val="28"/>
          <w14:ligatures w14:val="none"/>
        </w:rPr>
        <w:br w:type="page"/>
      </w:r>
    </w:p>
    <w:p w14:paraId="49AD13F3" w14:textId="33E8B29C" w:rsidR="007A7B2B" w:rsidRPr="007A7B2B" w:rsidRDefault="007A7B2B" w:rsidP="007A7B2B">
      <w:pPr>
        <w:jc w:val="center"/>
        <w:rPr>
          <w:rFonts w:eastAsia="Arial"/>
          <w:bCs/>
          <w:color w:val="auto"/>
          <w:kern w:val="0"/>
          <w:sz w:val="28"/>
          <w:szCs w:val="28"/>
          <w14:ligatures w14:val="none"/>
        </w:rPr>
      </w:pPr>
      <w:r>
        <w:rPr>
          <w:rFonts w:eastAsia="Arial"/>
          <w:bCs/>
          <w:color w:val="auto"/>
          <w:kern w:val="0"/>
          <w:sz w:val="28"/>
          <w:szCs w:val="28"/>
          <w14:ligatures w14:val="none"/>
        </w:rPr>
        <w:lastRenderedPageBreak/>
        <w:t>CRIMINAL CHARTS</w:t>
      </w:r>
    </w:p>
    <w:tbl>
      <w:tblPr>
        <w:tblStyle w:val="TableGrid5"/>
        <w:tblW w:w="9445" w:type="dxa"/>
        <w:tblCellMar>
          <w:left w:w="43" w:type="dxa"/>
          <w:right w:w="43" w:type="dxa"/>
        </w:tblCellMar>
        <w:tblLook w:val="04A0" w:firstRow="1" w:lastRow="0" w:firstColumn="1" w:lastColumn="0" w:noHBand="0" w:noVBand="1"/>
      </w:tblPr>
      <w:tblGrid>
        <w:gridCol w:w="2965"/>
        <w:gridCol w:w="6480"/>
      </w:tblGrid>
      <w:tr w:rsidR="00224A03" w:rsidRPr="00C72D0B" w14:paraId="0CD70CB2" w14:textId="77777777" w:rsidTr="0059785C">
        <w:tc>
          <w:tcPr>
            <w:tcW w:w="9445" w:type="dxa"/>
            <w:gridSpan w:val="2"/>
          </w:tcPr>
          <w:p w14:paraId="18E463D8" w14:textId="77777777" w:rsidR="00224A03" w:rsidRPr="00C72D0B" w:rsidRDefault="00224A03" w:rsidP="0059785C">
            <w:pPr>
              <w:ind w:firstLine="0"/>
              <w:jc w:val="center"/>
              <w:rPr>
                <w:rFonts w:ascii="Arial" w:eastAsia="Times New Roman" w:hAnsi="Arial" w:cs="Arial"/>
              </w:rPr>
            </w:pPr>
            <w:bookmarkStart w:id="2" w:name="_Hlk147440637"/>
            <w:r w:rsidRPr="00C72D0B">
              <w:rPr>
                <w:rFonts w:ascii="Arial" w:eastAsia="Times New Roman" w:hAnsi="Arial" w:cs="Arial"/>
                <w:b/>
              </w:rPr>
              <w:t xml:space="preserve">EVIDENCE WHICH </w:t>
            </w:r>
            <w:r w:rsidRPr="00C72D0B">
              <w:rPr>
                <w:rFonts w:ascii="Arial" w:eastAsia="Times New Roman" w:hAnsi="Arial" w:cs="Arial"/>
                <w:b/>
                <w:u w:val="single"/>
              </w:rPr>
              <w:t>IS ALLOWED</w:t>
            </w:r>
            <w:r w:rsidRPr="00C72D0B">
              <w:rPr>
                <w:rFonts w:ascii="Arial" w:eastAsia="Times New Roman" w:hAnsi="Arial" w:cs="Arial"/>
                <w:b/>
              </w:rPr>
              <w:t xml:space="preserve"> UNDER CONTINUING WITNESS RULE</w:t>
            </w:r>
          </w:p>
        </w:tc>
      </w:tr>
      <w:tr w:rsidR="00224A03" w:rsidRPr="00C72D0B" w14:paraId="71BB2276" w14:textId="77777777" w:rsidTr="0059785C">
        <w:tc>
          <w:tcPr>
            <w:tcW w:w="2965" w:type="dxa"/>
          </w:tcPr>
          <w:p w14:paraId="310EB71F" w14:textId="77777777" w:rsidR="00224A03" w:rsidRPr="00C72D0B" w:rsidRDefault="00224A03" w:rsidP="0059785C">
            <w:pPr>
              <w:ind w:firstLine="0"/>
              <w:rPr>
                <w:rFonts w:ascii="Arial" w:eastAsia="Times New Roman" w:hAnsi="Arial" w:cs="Arial"/>
              </w:rPr>
            </w:pPr>
            <w:r w:rsidRPr="00C72D0B">
              <w:rPr>
                <w:rFonts w:ascii="Arial" w:eastAsia="Times New Roman" w:hAnsi="Arial" w:cs="Arial"/>
              </w:rPr>
              <w:t>Death certificate (redacted to exclude manner of death)</w:t>
            </w:r>
          </w:p>
        </w:tc>
        <w:tc>
          <w:tcPr>
            <w:tcW w:w="6480" w:type="dxa"/>
          </w:tcPr>
          <w:p w14:paraId="1C93EB6B"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Bryant v. State</w:t>
            </w:r>
            <w:r w:rsidRPr="00C72D0B">
              <w:rPr>
                <w:rFonts w:ascii="Arial" w:eastAsia="Times New Roman" w:hAnsi="Arial" w:cs="Arial"/>
              </w:rPr>
              <w:t>, 270 Ga. 266 (1998)</w:t>
            </w:r>
          </w:p>
        </w:tc>
      </w:tr>
      <w:tr w:rsidR="00224A03" w:rsidRPr="00C72D0B" w14:paraId="2BE1EF79" w14:textId="77777777" w:rsidTr="0059785C">
        <w:tc>
          <w:tcPr>
            <w:tcW w:w="2965" w:type="dxa"/>
          </w:tcPr>
          <w:p w14:paraId="33260AB8"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 xml:space="preserve">Letters (where the letter </w:t>
            </w:r>
            <w:r w:rsidRPr="00C72D0B">
              <w:rPr>
                <w:rFonts w:ascii="Arial" w:eastAsia="Times New Roman" w:hAnsi="Arial" w:cs="Arial"/>
                <w:i/>
              </w:rPr>
              <w:t>IS</w:t>
            </w:r>
            <w:r w:rsidRPr="00C72D0B">
              <w:rPr>
                <w:rFonts w:ascii="Arial" w:eastAsia="Times New Roman" w:hAnsi="Arial" w:cs="Arial"/>
              </w:rPr>
              <w:t xml:space="preserve"> the crime) (i.e. intimidating witnesses via letter)</w:t>
            </w:r>
          </w:p>
        </w:tc>
        <w:tc>
          <w:tcPr>
            <w:tcW w:w="6480" w:type="dxa"/>
          </w:tcPr>
          <w:p w14:paraId="55760671" w14:textId="77777777" w:rsidR="00224A03" w:rsidRPr="00C72D0B" w:rsidRDefault="00224A03" w:rsidP="0059785C">
            <w:pPr>
              <w:keepNext/>
              <w:keepLines/>
              <w:ind w:firstLine="0"/>
              <w:rPr>
                <w:rFonts w:ascii="Arial" w:eastAsia="Times New Roman" w:hAnsi="Arial" w:cs="Arial"/>
              </w:rPr>
            </w:pPr>
            <w:bookmarkStart w:id="3" w:name="_Hlk147438251"/>
            <w:r w:rsidRPr="00C72D0B">
              <w:rPr>
                <w:rFonts w:ascii="Arial" w:eastAsia="Times New Roman" w:hAnsi="Arial" w:cs="Arial"/>
                <w:i/>
              </w:rPr>
              <w:t>Bollinger v. State</w:t>
            </w:r>
            <w:r w:rsidRPr="00C72D0B">
              <w:rPr>
                <w:rFonts w:ascii="Arial" w:eastAsia="Times New Roman" w:hAnsi="Arial" w:cs="Arial"/>
              </w:rPr>
              <w:t xml:space="preserve">, 272 Ga. App. 688, 692 (2005); </w:t>
            </w:r>
            <w:r w:rsidRPr="00C72D0B">
              <w:rPr>
                <w:rFonts w:ascii="Arial" w:eastAsia="Times New Roman" w:hAnsi="Arial" w:cs="Arial"/>
                <w:i/>
              </w:rPr>
              <w:t>Vinyard v. State</w:t>
            </w:r>
            <w:r w:rsidRPr="00C72D0B">
              <w:rPr>
                <w:rFonts w:ascii="Arial" w:eastAsia="Times New Roman" w:hAnsi="Arial" w:cs="Arial"/>
              </w:rPr>
              <w:t xml:space="preserve">, 177 Ga. App. 188, 190 (1985); </w:t>
            </w:r>
            <w:r w:rsidRPr="00C72D0B">
              <w:rPr>
                <w:rFonts w:ascii="Arial" w:eastAsia="Times New Roman" w:hAnsi="Arial" w:cs="Arial"/>
                <w:i/>
              </w:rPr>
              <w:t>Johnson v. State</w:t>
            </w:r>
            <w:r w:rsidRPr="00C72D0B">
              <w:rPr>
                <w:rFonts w:ascii="Arial" w:eastAsia="Times New Roman" w:hAnsi="Arial" w:cs="Arial"/>
              </w:rPr>
              <w:t>, 234 Ga. App. 58, 60 (1998)</w:t>
            </w:r>
            <w:bookmarkEnd w:id="3"/>
          </w:p>
        </w:tc>
      </w:tr>
      <w:tr w:rsidR="00224A03" w:rsidRPr="00C72D0B" w14:paraId="21E229FB" w14:textId="77777777" w:rsidTr="0059785C">
        <w:tc>
          <w:tcPr>
            <w:tcW w:w="2965" w:type="dxa"/>
          </w:tcPr>
          <w:p w14:paraId="15ACC74E"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Photo lineup (even where the witness initialed selection)  However, degree of certainty information should be redacted</w:t>
            </w:r>
          </w:p>
        </w:tc>
        <w:tc>
          <w:tcPr>
            <w:tcW w:w="6480" w:type="dxa"/>
          </w:tcPr>
          <w:p w14:paraId="2066C6B7"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Kenney v. State</w:t>
            </w:r>
            <w:r w:rsidRPr="00C72D0B">
              <w:rPr>
                <w:rFonts w:ascii="Arial" w:eastAsia="Times New Roman" w:hAnsi="Arial" w:cs="Arial"/>
              </w:rPr>
              <w:t xml:space="preserve">, 196 Ga. App. 776, 777 (1990); </w:t>
            </w:r>
            <w:r w:rsidRPr="00C72D0B">
              <w:rPr>
                <w:rFonts w:ascii="Arial" w:eastAsia="Times New Roman" w:hAnsi="Arial" w:cs="Arial"/>
                <w:i/>
              </w:rPr>
              <w:t>Dockery v. State</w:t>
            </w:r>
            <w:r w:rsidRPr="00C72D0B">
              <w:rPr>
                <w:rFonts w:ascii="Arial" w:eastAsia="Times New Roman" w:hAnsi="Arial" w:cs="Arial"/>
              </w:rPr>
              <w:t>, 287 Ga. 275, 276-277 (2010) (addresses required redactions)</w:t>
            </w:r>
          </w:p>
        </w:tc>
      </w:tr>
      <w:tr w:rsidR="00224A03" w:rsidRPr="00C72D0B" w14:paraId="68EB154B" w14:textId="77777777" w:rsidTr="0059785C">
        <w:tc>
          <w:tcPr>
            <w:tcW w:w="2965" w:type="dxa"/>
          </w:tcPr>
          <w:p w14:paraId="7C71514E"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Photographs</w:t>
            </w:r>
          </w:p>
        </w:tc>
        <w:tc>
          <w:tcPr>
            <w:tcW w:w="6480" w:type="dxa"/>
          </w:tcPr>
          <w:p w14:paraId="22491659"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Davis v. State</w:t>
            </w:r>
            <w:r w:rsidRPr="00C72D0B">
              <w:rPr>
                <w:rFonts w:ascii="Arial" w:eastAsia="Times New Roman" w:hAnsi="Arial" w:cs="Arial"/>
              </w:rPr>
              <w:t>, 285 Ga. 343, 348 (2009)</w:t>
            </w:r>
          </w:p>
        </w:tc>
      </w:tr>
      <w:tr w:rsidR="00224A03" w:rsidRPr="00C72D0B" w14:paraId="76237F23" w14:textId="77777777" w:rsidTr="0059785C">
        <w:tc>
          <w:tcPr>
            <w:tcW w:w="2965" w:type="dxa"/>
          </w:tcPr>
          <w:p w14:paraId="1D9CCA98"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 xml:space="preserve">Drawings on anatomically correct diagram </w:t>
            </w:r>
          </w:p>
        </w:tc>
        <w:tc>
          <w:tcPr>
            <w:tcW w:w="6480" w:type="dxa"/>
          </w:tcPr>
          <w:p w14:paraId="2314F5B9"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Banks v. State</w:t>
            </w:r>
            <w:r w:rsidRPr="00C72D0B">
              <w:rPr>
                <w:rFonts w:ascii="Arial" w:eastAsia="Times New Roman" w:hAnsi="Arial" w:cs="Arial"/>
              </w:rPr>
              <w:t xml:space="preserve">, 279 Ga. App. 57, 58-59 (2006), disapproved on other grounds </w:t>
            </w:r>
            <w:r w:rsidRPr="00C72D0B">
              <w:rPr>
                <w:rFonts w:ascii="Arial" w:eastAsia="Times New Roman" w:hAnsi="Arial" w:cs="Arial"/>
                <w:i/>
              </w:rPr>
              <w:t>Patel v. State</w:t>
            </w:r>
            <w:r w:rsidRPr="00C72D0B">
              <w:rPr>
                <w:rFonts w:ascii="Arial" w:eastAsia="Times New Roman" w:hAnsi="Arial" w:cs="Arial"/>
              </w:rPr>
              <w:t xml:space="preserve">, 282 Ga. 412 (2007) (child drawings); </w:t>
            </w:r>
            <w:r w:rsidRPr="00C72D0B">
              <w:rPr>
                <w:rFonts w:ascii="Arial" w:eastAsia="Times New Roman" w:hAnsi="Arial" w:cs="Arial"/>
                <w:i/>
              </w:rPr>
              <w:t>Ruffin v. State</w:t>
            </w:r>
            <w:r w:rsidRPr="00C72D0B">
              <w:rPr>
                <w:rFonts w:ascii="Arial" w:eastAsia="Times New Roman" w:hAnsi="Arial" w:cs="Arial"/>
              </w:rPr>
              <w:t xml:space="preserve">, 333 Ga. App. 793, 794-795 (2015) (nurse drawings); </w:t>
            </w:r>
            <w:r w:rsidRPr="00C72D0B">
              <w:rPr>
                <w:rFonts w:ascii="Arial" w:eastAsia="Times New Roman" w:hAnsi="Arial" w:cs="Arial"/>
                <w:i/>
              </w:rPr>
              <w:t>James v. State</w:t>
            </w:r>
            <w:r w:rsidRPr="00C72D0B">
              <w:rPr>
                <w:rFonts w:ascii="Arial" w:eastAsia="Times New Roman" w:hAnsi="Arial" w:cs="Arial"/>
              </w:rPr>
              <w:t xml:space="preserve">, 270 Ga. 675, 678 (1999) (medical examiner drawings); </w:t>
            </w:r>
            <w:r w:rsidRPr="00C72D0B">
              <w:rPr>
                <w:rFonts w:ascii="Arial" w:eastAsia="Times New Roman" w:hAnsi="Arial" w:cs="Arial"/>
                <w:i/>
              </w:rPr>
              <w:t>Abernathy v. State</w:t>
            </w:r>
            <w:r w:rsidRPr="00C72D0B">
              <w:rPr>
                <w:rFonts w:ascii="Arial" w:eastAsia="Times New Roman" w:hAnsi="Arial" w:cs="Arial"/>
              </w:rPr>
              <w:t xml:space="preserve">, 278 Ga. App. 574, 586-587 (2006) (child drawings); </w:t>
            </w:r>
            <w:r w:rsidRPr="00C72D0B">
              <w:rPr>
                <w:rFonts w:ascii="Arial" w:eastAsia="Times New Roman" w:hAnsi="Arial" w:cs="Arial"/>
                <w:i/>
              </w:rPr>
              <w:t>Griffin v. State</w:t>
            </w:r>
            <w:r w:rsidRPr="00C72D0B">
              <w:rPr>
                <w:rFonts w:ascii="Arial" w:eastAsia="Times New Roman" w:hAnsi="Arial" w:cs="Arial"/>
              </w:rPr>
              <w:t>, 243 Ga. App. 282, 286 (2000) (nurse drawings)</w:t>
            </w:r>
          </w:p>
        </w:tc>
      </w:tr>
      <w:tr w:rsidR="00224A03" w:rsidRPr="00C72D0B" w14:paraId="6E43F721" w14:textId="77777777" w:rsidTr="0059785C">
        <w:tc>
          <w:tcPr>
            <w:tcW w:w="2965" w:type="dxa"/>
          </w:tcPr>
          <w:p w14:paraId="4AD1661D"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Surveillance tape (w/o audio)</w:t>
            </w:r>
          </w:p>
        </w:tc>
        <w:tc>
          <w:tcPr>
            <w:tcW w:w="6480" w:type="dxa"/>
          </w:tcPr>
          <w:p w14:paraId="5E473EE0" w14:textId="77777777" w:rsidR="00224A03" w:rsidRPr="00CB1963" w:rsidRDefault="00224A03" w:rsidP="0059785C">
            <w:pPr>
              <w:keepNext/>
              <w:keepLines/>
              <w:ind w:firstLine="0"/>
              <w:rPr>
                <w:rFonts w:ascii="Arial" w:eastAsia="Times New Roman" w:hAnsi="Arial" w:cs="Arial"/>
              </w:rPr>
            </w:pPr>
            <w:r w:rsidRPr="00C72D0B">
              <w:rPr>
                <w:rFonts w:ascii="Arial" w:eastAsia="Times New Roman" w:hAnsi="Arial" w:cs="Arial"/>
                <w:i/>
              </w:rPr>
              <w:t>Matthews v. State</w:t>
            </w:r>
            <w:r w:rsidRPr="00C72D0B">
              <w:rPr>
                <w:rFonts w:ascii="Arial" w:eastAsia="Times New Roman" w:hAnsi="Arial" w:cs="Arial"/>
              </w:rPr>
              <w:t>, 258 Ga. App. 29 (2002)</w:t>
            </w:r>
            <w:r>
              <w:rPr>
                <w:rFonts w:ascii="Arial" w:eastAsia="Times New Roman" w:hAnsi="Arial" w:cs="Arial"/>
              </w:rPr>
              <w:t xml:space="preserve">; </w:t>
            </w:r>
            <w:r>
              <w:rPr>
                <w:rFonts w:ascii="Arial" w:eastAsia="Times New Roman" w:hAnsi="Arial" w:cs="Arial"/>
                <w:i/>
                <w:iCs/>
              </w:rPr>
              <w:t>Muse v. State</w:t>
            </w:r>
            <w:r>
              <w:rPr>
                <w:rFonts w:ascii="Arial" w:eastAsia="Times New Roman" w:hAnsi="Arial" w:cs="Arial"/>
              </w:rPr>
              <w:t>, 316 Ga. 639, 659-660 (2023)</w:t>
            </w:r>
          </w:p>
        </w:tc>
      </w:tr>
      <w:tr w:rsidR="00224A03" w:rsidRPr="00C72D0B" w14:paraId="7AD8898F" w14:textId="77777777" w:rsidTr="0059785C">
        <w:tc>
          <w:tcPr>
            <w:tcW w:w="2965" w:type="dxa"/>
          </w:tcPr>
          <w:p w14:paraId="406CB270"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Copy of implied consent card</w:t>
            </w:r>
          </w:p>
        </w:tc>
        <w:tc>
          <w:tcPr>
            <w:tcW w:w="6480" w:type="dxa"/>
          </w:tcPr>
          <w:p w14:paraId="2506397F" w14:textId="77777777" w:rsidR="00224A03" w:rsidRPr="00C72D0B" w:rsidRDefault="00224A03" w:rsidP="0059785C">
            <w:pPr>
              <w:keepNext/>
              <w:keepLines/>
              <w:ind w:firstLine="0"/>
              <w:rPr>
                <w:rFonts w:ascii="Arial" w:eastAsia="Times New Roman" w:hAnsi="Arial" w:cs="Arial"/>
              </w:rPr>
            </w:pPr>
            <w:proofErr w:type="spellStart"/>
            <w:r w:rsidRPr="00C72D0B">
              <w:rPr>
                <w:rFonts w:ascii="Arial" w:eastAsia="Times New Roman" w:hAnsi="Arial" w:cs="Arial"/>
                <w:i/>
              </w:rPr>
              <w:t>Sagenich</w:t>
            </w:r>
            <w:proofErr w:type="spellEnd"/>
            <w:r w:rsidRPr="00C72D0B">
              <w:rPr>
                <w:rFonts w:ascii="Arial" w:eastAsia="Times New Roman" w:hAnsi="Arial" w:cs="Arial"/>
                <w:i/>
              </w:rPr>
              <w:t xml:space="preserve"> v. State</w:t>
            </w:r>
            <w:r w:rsidRPr="00C72D0B">
              <w:rPr>
                <w:rFonts w:ascii="Arial" w:eastAsia="Times New Roman" w:hAnsi="Arial" w:cs="Arial"/>
              </w:rPr>
              <w:t>, 255 Ga. App. 663, 664 (2002)</w:t>
            </w:r>
          </w:p>
        </w:tc>
      </w:tr>
      <w:tr w:rsidR="00224A03" w:rsidRPr="00C72D0B" w14:paraId="4C104A0F" w14:textId="77777777" w:rsidTr="0059785C">
        <w:tc>
          <w:tcPr>
            <w:tcW w:w="2965" w:type="dxa"/>
          </w:tcPr>
          <w:p w14:paraId="60223DA4"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Print out of Intoxilyzer test result</w:t>
            </w:r>
          </w:p>
        </w:tc>
        <w:tc>
          <w:tcPr>
            <w:tcW w:w="6480" w:type="dxa"/>
          </w:tcPr>
          <w:p w14:paraId="1CA39ED0"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Whiteley v. State</w:t>
            </w:r>
            <w:r w:rsidRPr="00C72D0B">
              <w:rPr>
                <w:rFonts w:ascii="Arial" w:eastAsia="Times New Roman" w:hAnsi="Arial" w:cs="Arial"/>
              </w:rPr>
              <w:t>, 188 Ga. App. 129, 132 (1988)</w:t>
            </w:r>
          </w:p>
        </w:tc>
      </w:tr>
      <w:tr w:rsidR="00224A03" w:rsidRPr="00C72D0B" w14:paraId="44A56261" w14:textId="77777777" w:rsidTr="0059785C">
        <w:tc>
          <w:tcPr>
            <w:tcW w:w="2965" w:type="dxa"/>
          </w:tcPr>
          <w:p w14:paraId="27F5F9A4" w14:textId="77777777" w:rsidR="00224A03" w:rsidRPr="00C72D0B" w:rsidRDefault="00224A03" w:rsidP="0059785C">
            <w:pPr>
              <w:keepNext/>
              <w:keepLines/>
              <w:ind w:firstLine="0"/>
              <w:rPr>
                <w:rFonts w:ascii="Arial" w:eastAsia="Times New Roman" w:hAnsi="Arial" w:cs="Arial"/>
              </w:rPr>
            </w:pPr>
            <w:r>
              <w:rPr>
                <w:rFonts w:ascii="Arial" w:eastAsia="Times New Roman" w:hAnsi="Arial" w:cs="Arial"/>
              </w:rPr>
              <w:t>Officer’s Certifications for DUI training</w:t>
            </w:r>
          </w:p>
        </w:tc>
        <w:tc>
          <w:tcPr>
            <w:tcW w:w="6480" w:type="dxa"/>
          </w:tcPr>
          <w:p w14:paraId="2276DA67" w14:textId="77777777" w:rsidR="00224A03" w:rsidRPr="00D9156D" w:rsidRDefault="00224A03" w:rsidP="0059785C">
            <w:pPr>
              <w:keepNext/>
              <w:keepLines/>
              <w:ind w:firstLine="0"/>
              <w:rPr>
                <w:rFonts w:ascii="Arial" w:eastAsia="Times New Roman" w:hAnsi="Arial" w:cs="Arial"/>
                <w:iCs/>
              </w:rPr>
            </w:pPr>
            <w:r>
              <w:rPr>
                <w:rFonts w:ascii="Arial" w:eastAsia="Times New Roman" w:hAnsi="Arial" w:cs="Arial"/>
                <w:i/>
              </w:rPr>
              <w:t>Rijal v. State</w:t>
            </w:r>
            <w:r>
              <w:rPr>
                <w:rFonts w:ascii="Arial" w:eastAsia="Times New Roman" w:hAnsi="Arial" w:cs="Arial"/>
                <w:iCs/>
              </w:rPr>
              <w:t>, 367 Ga.App. 703, 714 (2023).</w:t>
            </w:r>
          </w:p>
        </w:tc>
      </w:tr>
      <w:tr w:rsidR="00224A03" w:rsidRPr="00C72D0B" w14:paraId="5E223092" w14:textId="77777777" w:rsidTr="0059785C">
        <w:tc>
          <w:tcPr>
            <w:tcW w:w="2965" w:type="dxa"/>
          </w:tcPr>
          <w:p w14:paraId="17BC0F96"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Police artist sketch</w:t>
            </w:r>
          </w:p>
        </w:tc>
        <w:tc>
          <w:tcPr>
            <w:tcW w:w="6480" w:type="dxa"/>
          </w:tcPr>
          <w:p w14:paraId="24AEB9FF"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Sims v. State</w:t>
            </w:r>
            <w:r w:rsidRPr="00C72D0B">
              <w:rPr>
                <w:rFonts w:ascii="Arial" w:eastAsia="Times New Roman" w:hAnsi="Arial" w:cs="Arial"/>
              </w:rPr>
              <w:t>, 275 Ga. App. 836, 840 (2005)</w:t>
            </w:r>
          </w:p>
        </w:tc>
      </w:tr>
      <w:tr w:rsidR="00224A03" w:rsidRPr="00C72D0B" w14:paraId="56827E69" w14:textId="77777777" w:rsidTr="0059785C">
        <w:tc>
          <w:tcPr>
            <w:tcW w:w="2965" w:type="dxa"/>
          </w:tcPr>
          <w:p w14:paraId="60AE2F13"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GBI crime lab report (but not if merely conclusions)</w:t>
            </w:r>
          </w:p>
        </w:tc>
        <w:tc>
          <w:tcPr>
            <w:tcW w:w="6480" w:type="dxa"/>
          </w:tcPr>
          <w:p w14:paraId="1550C42C"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Ogburn v. State</w:t>
            </w:r>
            <w:r w:rsidRPr="00C72D0B">
              <w:rPr>
                <w:rFonts w:ascii="Arial" w:eastAsia="Times New Roman" w:hAnsi="Arial" w:cs="Arial"/>
              </w:rPr>
              <w:t xml:space="preserve">, 196 Ga. App. 254, 257 (2009); </w:t>
            </w:r>
            <w:r w:rsidRPr="00C72D0B">
              <w:rPr>
                <w:rFonts w:ascii="Arial" w:eastAsia="Times New Roman" w:hAnsi="Arial" w:cs="Arial"/>
                <w:i/>
              </w:rPr>
              <w:t>Tanner v. State</w:t>
            </w:r>
            <w:r w:rsidRPr="00C72D0B">
              <w:rPr>
                <w:rFonts w:ascii="Arial" w:eastAsia="Times New Roman" w:hAnsi="Arial" w:cs="Arial"/>
              </w:rPr>
              <w:t xml:space="preserve">, 259 Ga. App. 94, 97-98 (2003); </w:t>
            </w:r>
            <w:r w:rsidRPr="00C72D0B">
              <w:rPr>
                <w:rFonts w:ascii="Arial" w:eastAsia="Times New Roman" w:hAnsi="Arial" w:cs="Arial"/>
                <w:i/>
              </w:rPr>
              <w:t>Starks v. State</w:t>
            </w:r>
            <w:r w:rsidRPr="00C72D0B">
              <w:rPr>
                <w:rFonts w:ascii="Arial" w:eastAsia="Times New Roman" w:hAnsi="Arial" w:cs="Arial"/>
              </w:rPr>
              <w:t>, 240 Ga. App. 346 (1999)</w:t>
            </w:r>
          </w:p>
        </w:tc>
      </w:tr>
      <w:tr w:rsidR="00224A03" w:rsidRPr="00C72D0B" w14:paraId="62638610" w14:textId="77777777" w:rsidTr="0059785C">
        <w:tc>
          <w:tcPr>
            <w:tcW w:w="2965" w:type="dxa"/>
          </w:tcPr>
          <w:p w14:paraId="67386559"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Medical records</w:t>
            </w:r>
          </w:p>
        </w:tc>
        <w:tc>
          <w:tcPr>
            <w:tcW w:w="6480" w:type="dxa"/>
          </w:tcPr>
          <w:p w14:paraId="7994F40D"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Hodson v. Mawson</w:t>
            </w:r>
            <w:r w:rsidRPr="00C72D0B">
              <w:rPr>
                <w:rFonts w:ascii="Arial" w:eastAsia="Times New Roman" w:hAnsi="Arial" w:cs="Arial"/>
              </w:rPr>
              <w:t>, 227 Ga. App. 490 (1997)</w:t>
            </w:r>
          </w:p>
        </w:tc>
      </w:tr>
      <w:tr w:rsidR="00224A03" w:rsidRPr="00C72D0B" w14:paraId="07D9AC64" w14:textId="77777777" w:rsidTr="0059785C">
        <w:tc>
          <w:tcPr>
            <w:tcW w:w="2965" w:type="dxa"/>
          </w:tcPr>
          <w:p w14:paraId="1F1B1105"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Copy of municipal ordinance</w:t>
            </w:r>
          </w:p>
        </w:tc>
        <w:tc>
          <w:tcPr>
            <w:tcW w:w="6480" w:type="dxa"/>
          </w:tcPr>
          <w:p w14:paraId="6C68B44C"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Davis v. State</w:t>
            </w:r>
            <w:r w:rsidRPr="00C72D0B">
              <w:rPr>
                <w:rFonts w:ascii="Arial" w:eastAsia="Times New Roman" w:hAnsi="Arial" w:cs="Arial"/>
              </w:rPr>
              <w:t>, 172 Ga. App. 193, 194 (1984)</w:t>
            </w:r>
          </w:p>
        </w:tc>
      </w:tr>
      <w:tr w:rsidR="00224A03" w:rsidRPr="00C72D0B" w14:paraId="49246257" w14:textId="77777777" w:rsidTr="0059785C">
        <w:tc>
          <w:tcPr>
            <w:tcW w:w="2965" w:type="dxa"/>
          </w:tcPr>
          <w:p w14:paraId="44B737A4"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rPr>
              <w:t>Certified copies of prior convictions introduced for impeachment (REDACTED)</w:t>
            </w:r>
            <w:r w:rsidRPr="00C72D0B">
              <w:rPr>
                <w:rFonts w:ascii="Arial" w:eastAsia="Times New Roman" w:hAnsi="Arial" w:cs="Arial"/>
                <w:b/>
                <w:vertAlign w:val="superscript"/>
              </w:rPr>
              <w:endnoteReference w:id="6"/>
            </w:r>
          </w:p>
        </w:tc>
        <w:tc>
          <w:tcPr>
            <w:tcW w:w="6480" w:type="dxa"/>
          </w:tcPr>
          <w:p w14:paraId="43DE7B13" w14:textId="77777777" w:rsidR="00224A03" w:rsidRPr="00C72D0B" w:rsidRDefault="00224A03" w:rsidP="0059785C">
            <w:pPr>
              <w:keepNext/>
              <w:keepLines/>
              <w:ind w:firstLine="0"/>
              <w:rPr>
                <w:rFonts w:ascii="Arial" w:eastAsia="Times New Roman" w:hAnsi="Arial" w:cs="Arial"/>
              </w:rPr>
            </w:pPr>
            <w:r w:rsidRPr="00C72D0B">
              <w:rPr>
                <w:rFonts w:ascii="Arial" w:eastAsia="Times New Roman" w:hAnsi="Arial" w:cs="Arial"/>
                <w:i/>
              </w:rPr>
              <w:t>Relaford v. State</w:t>
            </w:r>
            <w:r w:rsidRPr="00C72D0B">
              <w:rPr>
                <w:rFonts w:ascii="Arial" w:eastAsia="Times New Roman" w:hAnsi="Arial" w:cs="Arial"/>
              </w:rPr>
              <w:t>, 306 Ga. App. 549, 557 (2010)</w:t>
            </w:r>
          </w:p>
        </w:tc>
      </w:tr>
      <w:tr w:rsidR="00224A03" w:rsidRPr="00C72D0B" w14:paraId="423C15EF" w14:textId="77777777" w:rsidTr="0059785C">
        <w:tc>
          <w:tcPr>
            <w:tcW w:w="2965" w:type="dxa"/>
          </w:tcPr>
          <w:p w14:paraId="13DD86AA" w14:textId="77777777" w:rsidR="00224A03" w:rsidRPr="00C72D0B" w:rsidRDefault="00224A03" w:rsidP="0059785C">
            <w:pPr>
              <w:keepNext/>
              <w:keepLines/>
              <w:ind w:firstLine="0"/>
              <w:rPr>
                <w:rFonts w:ascii="Arial" w:eastAsia="Times New Roman" w:hAnsi="Arial" w:cs="Arial"/>
              </w:rPr>
            </w:pPr>
            <w:r>
              <w:rPr>
                <w:rFonts w:ascii="Arial" w:eastAsia="Times New Roman" w:hAnsi="Arial" w:cs="Arial"/>
              </w:rPr>
              <w:t>PowerPoint presentation prepared by officer to show defendant’s cell data</w:t>
            </w:r>
          </w:p>
        </w:tc>
        <w:tc>
          <w:tcPr>
            <w:tcW w:w="6480" w:type="dxa"/>
          </w:tcPr>
          <w:p w14:paraId="3483E02E" w14:textId="77777777" w:rsidR="00224A03" w:rsidRPr="00180E51" w:rsidRDefault="00224A03" w:rsidP="0059785C">
            <w:pPr>
              <w:keepNext/>
              <w:keepLines/>
              <w:ind w:firstLine="0"/>
              <w:rPr>
                <w:rFonts w:ascii="Arial" w:eastAsia="Times New Roman" w:hAnsi="Arial" w:cs="Arial"/>
                <w:iCs/>
              </w:rPr>
            </w:pPr>
            <w:r>
              <w:rPr>
                <w:rFonts w:ascii="Arial" w:eastAsia="Times New Roman" w:hAnsi="Arial" w:cs="Arial"/>
                <w:i/>
              </w:rPr>
              <w:t>Moore v. State</w:t>
            </w:r>
            <w:r>
              <w:rPr>
                <w:rFonts w:ascii="Arial" w:eastAsia="Times New Roman" w:hAnsi="Arial" w:cs="Arial"/>
                <w:iCs/>
              </w:rPr>
              <w:t>, 311 Ga. 506, 511-512 (2021).</w:t>
            </w:r>
          </w:p>
        </w:tc>
      </w:tr>
    </w:tbl>
    <w:tbl>
      <w:tblPr>
        <w:tblStyle w:val="TableGrid2"/>
        <w:tblW w:w="9445" w:type="dxa"/>
        <w:tblCellMar>
          <w:left w:w="43" w:type="dxa"/>
          <w:right w:w="43" w:type="dxa"/>
        </w:tblCellMar>
        <w:tblLook w:val="04A0" w:firstRow="1" w:lastRow="0" w:firstColumn="1" w:lastColumn="0" w:noHBand="0" w:noVBand="1"/>
      </w:tblPr>
      <w:tblGrid>
        <w:gridCol w:w="4495"/>
        <w:gridCol w:w="4950"/>
      </w:tblGrid>
      <w:tr w:rsidR="007A7B2B" w:rsidRPr="007A7B2B" w14:paraId="05AB08A5" w14:textId="77777777" w:rsidTr="0059785C">
        <w:tc>
          <w:tcPr>
            <w:tcW w:w="9445" w:type="dxa"/>
            <w:gridSpan w:val="2"/>
          </w:tcPr>
          <w:bookmarkEnd w:id="2"/>
          <w:p w14:paraId="4BB8A552" w14:textId="77777777" w:rsidR="007A7B2B" w:rsidRPr="007A7B2B" w:rsidRDefault="007A7B2B" w:rsidP="007A7B2B">
            <w:pPr>
              <w:keepNext/>
              <w:keepLines/>
              <w:ind w:firstLine="0"/>
              <w:jc w:val="center"/>
              <w:rPr>
                <w:rFonts w:ascii="Arial" w:eastAsia="Times New Roman" w:hAnsi="Arial" w:cs="Arial"/>
                <w:b/>
              </w:rPr>
            </w:pPr>
            <w:r w:rsidRPr="007A7B2B">
              <w:rPr>
                <w:rFonts w:ascii="Arial" w:eastAsia="Times New Roman" w:hAnsi="Arial" w:cs="Arial"/>
                <w:b/>
              </w:rPr>
              <w:lastRenderedPageBreak/>
              <w:t xml:space="preserve">EVIDENCE WHICH </w:t>
            </w:r>
            <w:r w:rsidRPr="007A7B2B">
              <w:rPr>
                <w:rFonts w:ascii="Arial" w:eastAsia="Times New Roman" w:hAnsi="Arial" w:cs="Arial"/>
                <w:b/>
                <w:u w:val="single"/>
              </w:rPr>
              <w:t>IS NOT ALLOWED</w:t>
            </w:r>
            <w:r w:rsidRPr="007A7B2B">
              <w:rPr>
                <w:rFonts w:ascii="Arial" w:eastAsia="Times New Roman" w:hAnsi="Arial" w:cs="Arial"/>
                <w:b/>
              </w:rPr>
              <w:t xml:space="preserve"> UNDER CONTINUING WITNESS RULE</w:t>
            </w:r>
          </w:p>
        </w:tc>
      </w:tr>
      <w:tr w:rsidR="007A7B2B" w:rsidRPr="007A7B2B" w14:paraId="17A34A4E" w14:textId="77777777" w:rsidTr="0059785C">
        <w:tc>
          <w:tcPr>
            <w:tcW w:w="4495" w:type="dxa"/>
          </w:tcPr>
          <w:p w14:paraId="0D774ADB"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Affidavits and depositions</w:t>
            </w:r>
          </w:p>
        </w:tc>
        <w:tc>
          <w:tcPr>
            <w:tcW w:w="4950" w:type="dxa"/>
          </w:tcPr>
          <w:p w14:paraId="347F6DC7"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Tibbs v. Tibbs</w:t>
            </w:r>
            <w:r w:rsidRPr="007A7B2B">
              <w:rPr>
                <w:rFonts w:ascii="Arial" w:eastAsia="Times New Roman" w:hAnsi="Arial" w:cs="Arial"/>
              </w:rPr>
              <w:t>, 257 Ga. 370, 371 (1987)</w:t>
            </w:r>
          </w:p>
        </w:tc>
      </w:tr>
      <w:tr w:rsidR="007A7B2B" w:rsidRPr="007A7B2B" w14:paraId="50F7C367" w14:textId="77777777" w:rsidTr="0059785C">
        <w:tc>
          <w:tcPr>
            <w:tcW w:w="4495" w:type="dxa"/>
          </w:tcPr>
          <w:p w14:paraId="6E665219"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Answers to written interrogatories</w:t>
            </w:r>
          </w:p>
        </w:tc>
        <w:tc>
          <w:tcPr>
            <w:tcW w:w="4950" w:type="dxa"/>
          </w:tcPr>
          <w:p w14:paraId="66687906"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Shedden v. Stiles</w:t>
            </w:r>
            <w:r w:rsidRPr="007A7B2B">
              <w:rPr>
                <w:rFonts w:ascii="Arial" w:eastAsia="Times New Roman" w:hAnsi="Arial" w:cs="Arial"/>
              </w:rPr>
              <w:t>, 121 Ga. 637 (1905)</w:t>
            </w:r>
          </w:p>
        </w:tc>
      </w:tr>
      <w:tr w:rsidR="007A7B2B" w:rsidRPr="007A7B2B" w14:paraId="58CAD3A1" w14:textId="77777777" w:rsidTr="0059785C">
        <w:tc>
          <w:tcPr>
            <w:tcW w:w="4495" w:type="dxa"/>
          </w:tcPr>
          <w:p w14:paraId="4C1039A8"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Written confessions</w:t>
            </w:r>
          </w:p>
        </w:tc>
        <w:tc>
          <w:tcPr>
            <w:tcW w:w="4950" w:type="dxa"/>
          </w:tcPr>
          <w:p w14:paraId="2580C9CF"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Davis v. State</w:t>
            </w:r>
            <w:r w:rsidRPr="007A7B2B">
              <w:rPr>
                <w:rFonts w:ascii="Arial" w:eastAsia="Times New Roman" w:hAnsi="Arial" w:cs="Arial"/>
              </w:rPr>
              <w:t>, 285 Ga. 343, 348 (2009)</w:t>
            </w:r>
          </w:p>
        </w:tc>
      </w:tr>
      <w:tr w:rsidR="007A7B2B" w:rsidRPr="007A7B2B" w14:paraId="2E40E38A" w14:textId="77777777" w:rsidTr="0059785C">
        <w:tc>
          <w:tcPr>
            <w:tcW w:w="4495" w:type="dxa"/>
          </w:tcPr>
          <w:p w14:paraId="7825A1A0"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Dying declarations</w:t>
            </w:r>
          </w:p>
        </w:tc>
        <w:tc>
          <w:tcPr>
            <w:tcW w:w="4950" w:type="dxa"/>
          </w:tcPr>
          <w:p w14:paraId="56B664AB"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Davis v. State</w:t>
            </w:r>
            <w:r w:rsidRPr="007A7B2B">
              <w:rPr>
                <w:rFonts w:ascii="Arial" w:eastAsia="Times New Roman" w:hAnsi="Arial" w:cs="Arial"/>
              </w:rPr>
              <w:t xml:space="preserve">, 285 Ga. 343, 348 (2009); </w:t>
            </w:r>
            <w:r w:rsidRPr="007A7B2B">
              <w:rPr>
                <w:rFonts w:ascii="Arial" w:eastAsia="Times New Roman" w:hAnsi="Arial" w:cs="Arial"/>
                <w:i/>
              </w:rPr>
              <w:t>Strickland v. State</w:t>
            </w:r>
            <w:r w:rsidRPr="007A7B2B">
              <w:rPr>
                <w:rFonts w:ascii="Arial" w:eastAsia="Times New Roman" w:hAnsi="Arial" w:cs="Arial"/>
              </w:rPr>
              <w:t>, 167 Ga. 452, 460 (1928)</w:t>
            </w:r>
          </w:p>
        </w:tc>
      </w:tr>
      <w:tr w:rsidR="007A7B2B" w:rsidRPr="007A7B2B" w14:paraId="5DF5ABCD" w14:textId="77777777" w:rsidTr="0059785C">
        <w:tc>
          <w:tcPr>
            <w:tcW w:w="4495" w:type="dxa"/>
          </w:tcPr>
          <w:p w14:paraId="0A6602CC"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Videotaped recording of interview or transcript of testimony</w:t>
            </w:r>
          </w:p>
        </w:tc>
        <w:tc>
          <w:tcPr>
            <w:tcW w:w="4950" w:type="dxa"/>
          </w:tcPr>
          <w:p w14:paraId="06860189"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Summage v. State</w:t>
            </w:r>
            <w:r w:rsidRPr="007A7B2B">
              <w:rPr>
                <w:rFonts w:ascii="Arial" w:eastAsia="Times New Roman" w:hAnsi="Arial" w:cs="Arial"/>
              </w:rPr>
              <w:t xml:space="preserve">, 248 Ga. App. 559, 561 (2001); </w:t>
            </w:r>
            <w:r w:rsidRPr="007A7B2B">
              <w:rPr>
                <w:rFonts w:ascii="Arial" w:eastAsia="Times New Roman" w:hAnsi="Arial" w:cs="Arial"/>
                <w:i/>
              </w:rPr>
              <w:t>Hinton v. State</w:t>
            </w:r>
            <w:r w:rsidRPr="007A7B2B">
              <w:rPr>
                <w:rFonts w:ascii="Arial" w:eastAsia="Times New Roman" w:hAnsi="Arial" w:cs="Arial"/>
              </w:rPr>
              <w:t xml:space="preserve">, 233 Ga. App. 213 (1998) </w:t>
            </w:r>
          </w:p>
        </w:tc>
      </w:tr>
      <w:tr w:rsidR="007A7B2B" w:rsidRPr="007A7B2B" w14:paraId="57A531C0" w14:textId="77777777" w:rsidTr="0059785C">
        <w:tc>
          <w:tcPr>
            <w:tcW w:w="4495" w:type="dxa"/>
          </w:tcPr>
          <w:p w14:paraId="34CCB8CE"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Video or audio recording of statement of defendant</w:t>
            </w:r>
          </w:p>
        </w:tc>
        <w:tc>
          <w:tcPr>
            <w:tcW w:w="4950" w:type="dxa"/>
          </w:tcPr>
          <w:p w14:paraId="2CDA8ECE"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Fields v. State</w:t>
            </w:r>
            <w:r w:rsidRPr="007A7B2B">
              <w:rPr>
                <w:rFonts w:ascii="Arial" w:eastAsia="Times New Roman" w:hAnsi="Arial" w:cs="Arial"/>
              </w:rPr>
              <w:t xml:space="preserve">, 266 Ga. 241, 243 (1996); </w:t>
            </w:r>
            <w:r w:rsidRPr="007A7B2B">
              <w:rPr>
                <w:rFonts w:ascii="Arial" w:eastAsia="Times New Roman" w:hAnsi="Arial" w:cs="Arial"/>
                <w:i/>
              </w:rPr>
              <w:t>Ross v. State</w:t>
            </w:r>
            <w:r w:rsidRPr="007A7B2B">
              <w:rPr>
                <w:rFonts w:ascii="Arial" w:eastAsia="Times New Roman" w:hAnsi="Arial" w:cs="Arial"/>
              </w:rPr>
              <w:t>, 344 Ga. App. 477, 479-480 (2018)</w:t>
            </w:r>
          </w:p>
        </w:tc>
      </w:tr>
      <w:tr w:rsidR="007A7B2B" w:rsidRPr="007A7B2B" w14:paraId="2D64FECA" w14:textId="77777777" w:rsidTr="0059785C">
        <w:tc>
          <w:tcPr>
            <w:tcW w:w="4495" w:type="dxa"/>
          </w:tcPr>
          <w:p w14:paraId="77728670"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Narrative portions of police report</w:t>
            </w:r>
          </w:p>
        </w:tc>
        <w:tc>
          <w:tcPr>
            <w:tcW w:w="4950" w:type="dxa"/>
          </w:tcPr>
          <w:p w14:paraId="7F9C61E8"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Hopkins v. State</w:t>
            </w:r>
            <w:r w:rsidRPr="007A7B2B">
              <w:rPr>
                <w:rFonts w:ascii="Arial" w:eastAsia="Times New Roman" w:hAnsi="Arial" w:cs="Arial"/>
              </w:rPr>
              <w:t>, 283 Ga. App. 654, 659 (2007)</w:t>
            </w:r>
          </w:p>
        </w:tc>
      </w:tr>
      <w:tr w:rsidR="007A7B2B" w:rsidRPr="007A7B2B" w14:paraId="230E459D" w14:textId="77777777" w:rsidTr="0059785C">
        <w:tc>
          <w:tcPr>
            <w:tcW w:w="4495" w:type="dxa"/>
          </w:tcPr>
          <w:p w14:paraId="168F4874"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Search warrants or arrest warrants</w:t>
            </w:r>
          </w:p>
        </w:tc>
        <w:tc>
          <w:tcPr>
            <w:tcW w:w="4950" w:type="dxa"/>
          </w:tcPr>
          <w:p w14:paraId="11DB3F0B"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Nelson v. State</w:t>
            </w:r>
            <w:r w:rsidRPr="007A7B2B">
              <w:rPr>
                <w:rFonts w:ascii="Arial" w:eastAsia="Times New Roman" w:hAnsi="Arial" w:cs="Arial"/>
              </w:rPr>
              <w:t xml:space="preserve">, 197 Ga. App. 898, 899-900 (1990); </w:t>
            </w:r>
            <w:r w:rsidRPr="007A7B2B">
              <w:rPr>
                <w:rFonts w:ascii="Arial" w:eastAsia="Times New Roman" w:hAnsi="Arial" w:cs="Arial"/>
                <w:i/>
              </w:rPr>
              <w:t>Cain v. State</w:t>
            </w:r>
            <w:r w:rsidRPr="007A7B2B">
              <w:rPr>
                <w:rFonts w:ascii="Arial" w:eastAsia="Times New Roman" w:hAnsi="Arial" w:cs="Arial"/>
              </w:rPr>
              <w:t>, 113 Ga. App. 477, 481 (1996)</w:t>
            </w:r>
          </w:p>
        </w:tc>
      </w:tr>
      <w:tr w:rsidR="007A7B2B" w:rsidRPr="007A7B2B" w14:paraId="3ACC2AC7" w14:textId="77777777" w:rsidTr="0059785C">
        <w:tc>
          <w:tcPr>
            <w:tcW w:w="4495" w:type="dxa"/>
          </w:tcPr>
          <w:p w14:paraId="75916FD9"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Report of document examiner that included only conclusions (no evidence of type of testing, how testing conducted)</w:t>
            </w:r>
          </w:p>
        </w:tc>
        <w:tc>
          <w:tcPr>
            <w:tcW w:w="4950" w:type="dxa"/>
          </w:tcPr>
          <w:p w14:paraId="677CD389"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Roberts v. State</w:t>
            </w:r>
            <w:r w:rsidRPr="007A7B2B">
              <w:rPr>
                <w:rFonts w:ascii="Arial" w:eastAsia="Times New Roman" w:hAnsi="Arial" w:cs="Arial"/>
              </w:rPr>
              <w:t>, 282 Ga. 548, 552-553 (2007)</w:t>
            </w:r>
          </w:p>
        </w:tc>
      </w:tr>
      <w:tr w:rsidR="007A7B2B" w:rsidRPr="007A7B2B" w14:paraId="2B66231C" w14:textId="77777777" w:rsidTr="0059785C">
        <w:tc>
          <w:tcPr>
            <w:tcW w:w="4495" w:type="dxa"/>
          </w:tcPr>
          <w:p w14:paraId="4591DF5F"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Written or recorded statement of victim</w:t>
            </w:r>
          </w:p>
        </w:tc>
        <w:tc>
          <w:tcPr>
            <w:tcW w:w="4950" w:type="dxa"/>
          </w:tcPr>
          <w:p w14:paraId="08331981"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Kent v. State</w:t>
            </w:r>
            <w:r w:rsidRPr="007A7B2B">
              <w:rPr>
                <w:rFonts w:ascii="Arial" w:eastAsia="Times New Roman" w:hAnsi="Arial" w:cs="Arial"/>
              </w:rPr>
              <w:t xml:space="preserve">, 245 Ga. App. 531 (2000); </w:t>
            </w:r>
            <w:r w:rsidRPr="007A7B2B">
              <w:rPr>
                <w:rFonts w:ascii="Arial" w:eastAsia="Times New Roman" w:hAnsi="Arial" w:cs="Arial"/>
                <w:i/>
              </w:rPr>
              <w:t>Clark v. State</w:t>
            </w:r>
            <w:r w:rsidRPr="007A7B2B">
              <w:rPr>
                <w:rFonts w:ascii="Arial" w:eastAsia="Times New Roman" w:hAnsi="Arial" w:cs="Arial"/>
              </w:rPr>
              <w:t>, 284 Ga. 354, 353-355 (2008)</w:t>
            </w:r>
          </w:p>
        </w:tc>
      </w:tr>
      <w:tr w:rsidR="007A7B2B" w:rsidRPr="007A7B2B" w14:paraId="36C0E5EA" w14:textId="77777777" w:rsidTr="0059785C">
        <w:tc>
          <w:tcPr>
            <w:tcW w:w="4495" w:type="dxa"/>
          </w:tcPr>
          <w:p w14:paraId="085DBA53"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Report of polygraph examiner that simply reiterates his sworn testimony</w:t>
            </w:r>
          </w:p>
        </w:tc>
        <w:tc>
          <w:tcPr>
            <w:tcW w:w="4950" w:type="dxa"/>
          </w:tcPr>
          <w:p w14:paraId="0EC1AAC4"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Harris v. State</w:t>
            </w:r>
            <w:r w:rsidRPr="007A7B2B">
              <w:rPr>
                <w:rFonts w:ascii="Arial" w:eastAsia="Times New Roman" w:hAnsi="Arial" w:cs="Arial"/>
              </w:rPr>
              <w:t>, 168 Ga. App. 458, 460-461 (1983)</w:t>
            </w:r>
          </w:p>
        </w:tc>
      </w:tr>
      <w:tr w:rsidR="007A7B2B" w:rsidRPr="007A7B2B" w14:paraId="781361A2" w14:textId="77777777" w:rsidTr="0059785C">
        <w:tc>
          <w:tcPr>
            <w:tcW w:w="4495" w:type="dxa"/>
          </w:tcPr>
          <w:p w14:paraId="21410B24"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Written prior consistent or inconsistent statements</w:t>
            </w:r>
          </w:p>
        </w:tc>
        <w:tc>
          <w:tcPr>
            <w:tcW w:w="4950" w:type="dxa"/>
          </w:tcPr>
          <w:p w14:paraId="57552258"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Buchanan v. State</w:t>
            </w:r>
            <w:r w:rsidRPr="007A7B2B">
              <w:rPr>
                <w:rFonts w:ascii="Arial" w:eastAsia="Times New Roman" w:hAnsi="Arial" w:cs="Arial"/>
              </w:rPr>
              <w:t xml:space="preserve">, 282 Ga. App. 298, 300-301 (2006); </w:t>
            </w:r>
            <w:r w:rsidRPr="007A7B2B">
              <w:rPr>
                <w:rFonts w:ascii="Arial" w:eastAsia="Times New Roman" w:hAnsi="Arial" w:cs="Arial"/>
                <w:i/>
              </w:rPr>
              <w:t>Broadnax-Woodland v. State</w:t>
            </w:r>
            <w:r w:rsidRPr="007A7B2B">
              <w:rPr>
                <w:rFonts w:ascii="Arial" w:eastAsia="Times New Roman" w:hAnsi="Arial" w:cs="Arial"/>
              </w:rPr>
              <w:t xml:space="preserve">, 265 Ga. App. 669, 670 (2004); </w:t>
            </w:r>
            <w:r w:rsidRPr="007A7B2B">
              <w:rPr>
                <w:rFonts w:ascii="Arial" w:eastAsia="Times New Roman" w:hAnsi="Arial" w:cs="Arial"/>
                <w:i/>
              </w:rPr>
              <w:t>Gough v. State</w:t>
            </w:r>
            <w:r w:rsidRPr="007A7B2B">
              <w:rPr>
                <w:rFonts w:ascii="Arial" w:eastAsia="Times New Roman" w:hAnsi="Arial" w:cs="Arial"/>
              </w:rPr>
              <w:t>, 236 Ga. App. 669 (2004)</w:t>
            </w:r>
          </w:p>
        </w:tc>
      </w:tr>
      <w:tr w:rsidR="007A7B2B" w:rsidRPr="007A7B2B" w14:paraId="6C82B0A2" w14:textId="77777777" w:rsidTr="0059785C">
        <w:tc>
          <w:tcPr>
            <w:tcW w:w="4495" w:type="dxa"/>
          </w:tcPr>
          <w:p w14:paraId="1A9571A0"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rPr>
              <w:t>Past recollection recorded</w:t>
            </w:r>
          </w:p>
        </w:tc>
        <w:tc>
          <w:tcPr>
            <w:tcW w:w="4950" w:type="dxa"/>
          </w:tcPr>
          <w:p w14:paraId="7234BEA5" w14:textId="77777777" w:rsidR="007A7B2B" w:rsidRPr="007A7B2B" w:rsidRDefault="007A7B2B" w:rsidP="007A7B2B">
            <w:pPr>
              <w:keepNext/>
              <w:keepLines/>
              <w:ind w:firstLine="0"/>
              <w:rPr>
                <w:rFonts w:ascii="Arial" w:eastAsia="Times New Roman" w:hAnsi="Arial" w:cs="Arial"/>
              </w:rPr>
            </w:pPr>
            <w:r w:rsidRPr="007A7B2B">
              <w:rPr>
                <w:rFonts w:ascii="Arial" w:eastAsia="Times New Roman" w:hAnsi="Arial" w:cs="Arial"/>
                <w:i/>
              </w:rPr>
              <w:t>Platt v. National General Ins. Co.</w:t>
            </w:r>
            <w:r w:rsidRPr="007A7B2B">
              <w:rPr>
                <w:rFonts w:ascii="Arial" w:eastAsia="Times New Roman" w:hAnsi="Arial" w:cs="Arial"/>
              </w:rPr>
              <w:t>, 205 Ga. App. 705 (1992)</w:t>
            </w:r>
          </w:p>
        </w:tc>
      </w:tr>
    </w:tbl>
    <w:p w14:paraId="51084D6A" w14:textId="5B6DCBE4" w:rsidR="007A7B2B" w:rsidRDefault="007A7B2B" w:rsidP="007A7B2B">
      <w:pPr>
        <w:spacing w:before="120" w:after="240" w:line="480" w:lineRule="auto"/>
        <w:ind w:right="720"/>
        <w:rPr>
          <w:rFonts w:eastAsia="Arial"/>
          <w:bCs/>
          <w:color w:val="auto"/>
          <w:kern w:val="0"/>
          <w:sz w:val="28"/>
          <w:szCs w:val="28"/>
          <w14:ligatures w14:val="none"/>
        </w:rPr>
      </w:pPr>
    </w:p>
    <w:p w14:paraId="1E33CBE0" w14:textId="77777777" w:rsidR="007A7B2B" w:rsidRDefault="007A7B2B">
      <w:pPr>
        <w:rPr>
          <w:rFonts w:eastAsia="Arial"/>
          <w:bCs/>
          <w:color w:val="auto"/>
          <w:kern w:val="0"/>
          <w:sz w:val="28"/>
          <w:szCs w:val="28"/>
          <w14:ligatures w14:val="none"/>
        </w:rPr>
      </w:pPr>
      <w:r>
        <w:rPr>
          <w:rFonts w:eastAsia="Arial"/>
          <w:bCs/>
          <w:color w:val="auto"/>
          <w:kern w:val="0"/>
          <w:sz w:val="28"/>
          <w:szCs w:val="28"/>
          <w14:ligatures w14:val="none"/>
        </w:rPr>
        <w:br w:type="page"/>
      </w:r>
    </w:p>
    <w:p w14:paraId="2FD00C1F" w14:textId="628CC72D" w:rsidR="007A7B2B" w:rsidRDefault="007A7B2B" w:rsidP="007A7B2B">
      <w:pPr>
        <w:spacing w:before="120" w:after="240" w:line="480" w:lineRule="auto"/>
        <w:ind w:right="720"/>
        <w:jc w:val="center"/>
        <w:rPr>
          <w:rFonts w:eastAsia="Arial"/>
          <w:bCs/>
          <w:color w:val="auto"/>
          <w:kern w:val="0"/>
          <w:sz w:val="28"/>
          <w:szCs w:val="28"/>
          <w14:ligatures w14:val="none"/>
        </w:rPr>
      </w:pPr>
      <w:r>
        <w:rPr>
          <w:rFonts w:eastAsia="Arial"/>
          <w:bCs/>
          <w:color w:val="auto"/>
          <w:kern w:val="0"/>
          <w:sz w:val="28"/>
          <w:szCs w:val="28"/>
          <w14:ligatures w14:val="none"/>
        </w:rPr>
        <w:lastRenderedPageBreak/>
        <w:t>CIVIL CHARTS</w:t>
      </w:r>
    </w:p>
    <w:tbl>
      <w:tblPr>
        <w:tblStyle w:val="TableGrid3"/>
        <w:tblW w:w="9445" w:type="dxa"/>
        <w:tblCellMar>
          <w:left w:w="43" w:type="dxa"/>
          <w:right w:w="43" w:type="dxa"/>
        </w:tblCellMar>
        <w:tblLook w:val="04A0" w:firstRow="1" w:lastRow="0" w:firstColumn="1" w:lastColumn="0" w:noHBand="0" w:noVBand="1"/>
      </w:tblPr>
      <w:tblGrid>
        <w:gridCol w:w="2965"/>
        <w:gridCol w:w="6480"/>
      </w:tblGrid>
      <w:tr w:rsidR="007A7B2B" w:rsidRPr="007A7B2B" w14:paraId="596FF3ED" w14:textId="77777777" w:rsidTr="0059785C">
        <w:tc>
          <w:tcPr>
            <w:tcW w:w="9445" w:type="dxa"/>
            <w:gridSpan w:val="2"/>
          </w:tcPr>
          <w:p w14:paraId="1FFA1E7A" w14:textId="77777777" w:rsidR="007A7B2B" w:rsidRPr="007A7B2B" w:rsidRDefault="007A7B2B" w:rsidP="007A7B2B">
            <w:pPr>
              <w:widowControl w:val="0"/>
              <w:ind w:firstLine="0"/>
              <w:jc w:val="center"/>
              <w:rPr>
                <w:rFonts w:eastAsia="Calibri"/>
              </w:rPr>
            </w:pPr>
            <w:r w:rsidRPr="007A7B2B">
              <w:rPr>
                <w:rFonts w:eastAsia="Calibri"/>
                <w:b/>
              </w:rPr>
              <w:t xml:space="preserve">EVIDENCE WHICH </w:t>
            </w:r>
            <w:r w:rsidRPr="007A7B2B">
              <w:rPr>
                <w:rFonts w:eastAsia="Calibri"/>
                <w:b/>
                <w:u w:val="single"/>
              </w:rPr>
              <w:t>IS ALLOWED</w:t>
            </w:r>
            <w:r w:rsidRPr="007A7B2B">
              <w:rPr>
                <w:rFonts w:eastAsia="Calibri"/>
                <w:b/>
              </w:rPr>
              <w:t xml:space="preserve"> UNDER CONTINUING WITNESS RULE</w:t>
            </w:r>
          </w:p>
        </w:tc>
      </w:tr>
      <w:tr w:rsidR="007A7B2B" w:rsidRPr="007A7B2B" w14:paraId="470BD5A7" w14:textId="77777777" w:rsidTr="0059785C">
        <w:tc>
          <w:tcPr>
            <w:tcW w:w="2965" w:type="dxa"/>
          </w:tcPr>
          <w:p w14:paraId="36EDC17C" w14:textId="77777777" w:rsidR="007A7B2B" w:rsidRPr="007A7B2B" w:rsidRDefault="007A7B2B" w:rsidP="007A7B2B">
            <w:pPr>
              <w:ind w:firstLine="0"/>
              <w:rPr>
                <w:rFonts w:eastAsia="Times New Roman"/>
              </w:rPr>
            </w:pPr>
            <w:r w:rsidRPr="007A7B2B">
              <w:rPr>
                <w:rFonts w:eastAsia="Times New Roman"/>
              </w:rPr>
              <w:t>Death certificate (redacted to exclude manner of death)</w:t>
            </w:r>
          </w:p>
        </w:tc>
        <w:tc>
          <w:tcPr>
            <w:tcW w:w="6480" w:type="dxa"/>
          </w:tcPr>
          <w:p w14:paraId="5A248B96" w14:textId="77777777" w:rsidR="007A7B2B" w:rsidRPr="007A7B2B" w:rsidRDefault="007A7B2B" w:rsidP="007A7B2B">
            <w:pPr>
              <w:keepNext/>
              <w:keepLines/>
              <w:ind w:firstLine="0"/>
              <w:rPr>
                <w:rFonts w:eastAsia="Times New Roman"/>
              </w:rPr>
            </w:pPr>
            <w:r w:rsidRPr="007A7B2B">
              <w:rPr>
                <w:rFonts w:eastAsia="Times New Roman"/>
                <w:i/>
              </w:rPr>
              <w:t>Bryant v. State</w:t>
            </w:r>
            <w:r w:rsidRPr="007A7B2B">
              <w:rPr>
                <w:rFonts w:eastAsia="Times New Roman"/>
              </w:rPr>
              <w:t>, 270 Ga. 266 (1998)</w:t>
            </w:r>
          </w:p>
        </w:tc>
      </w:tr>
      <w:tr w:rsidR="007A7B2B" w:rsidRPr="007A7B2B" w14:paraId="07CF7A8D" w14:textId="77777777" w:rsidTr="0059785C">
        <w:tc>
          <w:tcPr>
            <w:tcW w:w="2965" w:type="dxa"/>
          </w:tcPr>
          <w:p w14:paraId="2C10518B" w14:textId="77777777" w:rsidR="007A7B2B" w:rsidRPr="007A7B2B" w:rsidRDefault="007A7B2B" w:rsidP="007A7B2B">
            <w:pPr>
              <w:keepNext/>
              <w:keepLines/>
              <w:ind w:firstLine="0"/>
              <w:rPr>
                <w:rFonts w:eastAsia="Times New Roman"/>
              </w:rPr>
            </w:pPr>
            <w:r w:rsidRPr="007A7B2B">
              <w:rPr>
                <w:rFonts w:eastAsia="Times New Roman"/>
              </w:rPr>
              <w:t xml:space="preserve">Letters (where the letter </w:t>
            </w:r>
            <w:r w:rsidRPr="007A7B2B">
              <w:rPr>
                <w:rFonts w:eastAsia="Times New Roman"/>
                <w:i/>
              </w:rPr>
              <w:t>IS</w:t>
            </w:r>
            <w:r w:rsidRPr="007A7B2B">
              <w:rPr>
                <w:rFonts w:eastAsia="Times New Roman"/>
              </w:rPr>
              <w:t xml:space="preserve"> the crime) (i.e. intimidating witnesses via letter)</w:t>
            </w:r>
          </w:p>
        </w:tc>
        <w:tc>
          <w:tcPr>
            <w:tcW w:w="6480" w:type="dxa"/>
          </w:tcPr>
          <w:p w14:paraId="09150E3A" w14:textId="77777777" w:rsidR="007A7B2B" w:rsidRPr="007A7B2B" w:rsidRDefault="007A7B2B" w:rsidP="007A7B2B">
            <w:pPr>
              <w:keepNext/>
              <w:keepLines/>
              <w:ind w:firstLine="0"/>
              <w:rPr>
                <w:rFonts w:eastAsia="Times New Roman"/>
              </w:rPr>
            </w:pPr>
            <w:r w:rsidRPr="007A7B2B">
              <w:rPr>
                <w:rFonts w:eastAsia="Times New Roman"/>
                <w:i/>
              </w:rPr>
              <w:t>Bollinger v. State</w:t>
            </w:r>
            <w:r w:rsidRPr="007A7B2B">
              <w:rPr>
                <w:rFonts w:eastAsia="Times New Roman"/>
              </w:rPr>
              <w:t xml:space="preserve">, 272 Ga. App. 688, 692 (2005); </w:t>
            </w:r>
            <w:r w:rsidRPr="007A7B2B">
              <w:rPr>
                <w:rFonts w:eastAsia="Times New Roman"/>
                <w:i/>
              </w:rPr>
              <w:t>Vinyard v. State</w:t>
            </w:r>
            <w:r w:rsidRPr="007A7B2B">
              <w:rPr>
                <w:rFonts w:eastAsia="Times New Roman"/>
              </w:rPr>
              <w:t xml:space="preserve">, 177 Ga. App. 188, 190 (1985); </w:t>
            </w:r>
            <w:r w:rsidRPr="007A7B2B">
              <w:rPr>
                <w:rFonts w:eastAsia="Times New Roman"/>
                <w:i/>
              </w:rPr>
              <w:t>Johnson v. State</w:t>
            </w:r>
            <w:r w:rsidRPr="007A7B2B">
              <w:rPr>
                <w:rFonts w:eastAsia="Times New Roman"/>
              </w:rPr>
              <w:t>, 234 Ga. App. 58, 60 (1998)</w:t>
            </w:r>
          </w:p>
        </w:tc>
      </w:tr>
      <w:tr w:rsidR="007A7B2B" w:rsidRPr="007A7B2B" w14:paraId="265C0056" w14:textId="77777777" w:rsidTr="0059785C">
        <w:tc>
          <w:tcPr>
            <w:tcW w:w="2965" w:type="dxa"/>
          </w:tcPr>
          <w:p w14:paraId="3D9D1E88" w14:textId="77777777" w:rsidR="007A7B2B" w:rsidRPr="007A7B2B" w:rsidRDefault="007A7B2B" w:rsidP="007A7B2B">
            <w:pPr>
              <w:keepNext/>
              <w:keepLines/>
              <w:ind w:firstLine="0"/>
              <w:rPr>
                <w:rFonts w:eastAsia="Times New Roman"/>
              </w:rPr>
            </w:pPr>
            <w:r w:rsidRPr="007A7B2B">
              <w:rPr>
                <w:rFonts w:eastAsia="Times New Roman"/>
              </w:rPr>
              <w:t>Photo lineup (even where the witness initialed selection)  However, degree of certainty information should be redacted</w:t>
            </w:r>
          </w:p>
        </w:tc>
        <w:tc>
          <w:tcPr>
            <w:tcW w:w="6480" w:type="dxa"/>
          </w:tcPr>
          <w:p w14:paraId="4FA920CC" w14:textId="77777777" w:rsidR="007A7B2B" w:rsidRPr="007A7B2B" w:rsidRDefault="007A7B2B" w:rsidP="007A7B2B">
            <w:pPr>
              <w:keepNext/>
              <w:keepLines/>
              <w:ind w:firstLine="0"/>
              <w:rPr>
                <w:rFonts w:eastAsia="Times New Roman"/>
              </w:rPr>
            </w:pPr>
            <w:r w:rsidRPr="007A7B2B">
              <w:rPr>
                <w:rFonts w:eastAsia="Times New Roman"/>
                <w:i/>
              </w:rPr>
              <w:t>Kenney v. State</w:t>
            </w:r>
            <w:r w:rsidRPr="007A7B2B">
              <w:rPr>
                <w:rFonts w:eastAsia="Times New Roman"/>
              </w:rPr>
              <w:t xml:space="preserve">, 196 Ga. App. 776, 777 (1990); </w:t>
            </w:r>
            <w:r w:rsidRPr="007A7B2B">
              <w:rPr>
                <w:rFonts w:eastAsia="Times New Roman"/>
                <w:i/>
              </w:rPr>
              <w:t>Dockery v. State</w:t>
            </w:r>
            <w:r w:rsidRPr="007A7B2B">
              <w:rPr>
                <w:rFonts w:eastAsia="Times New Roman"/>
              </w:rPr>
              <w:t>, 287 Ga. 275, 276-277 (2010) (addresses required redactions)</w:t>
            </w:r>
          </w:p>
        </w:tc>
      </w:tr>
      <w:tr w:rsidR="007A7B2B" w:rsidRPr="007A7B2B" w14:paraId="3D63BFEB" w14:textId="77777777" w:rsidTr="0059785C">
        <w:tc>
          <w:tcPr>
            <w:tcW w:w="2965" w:type="dxa"/>
          </w:tcPr>
          <w:p w14:paraId="3285AEFF" w14:textId="77777777" w:rsidR="007A7B2B" w:rsidRPr="007A7B2B" w:rsidRDefault="007A7B2B" w:rsidP="007A7B2B">
            <w:pPr>
              <w:keepNext/>
              <w:keepLines/>
              <w:ind w:firstLine="0"/>
              <w:rPr>
                <w:rFonts w:eastAsia="Times New Roman"/>
              </w:rPr>
            </w:pPr>
            <w:r w:rsidRPr="007A7B2B">
              <w:rPr>
                <w:rFonts w:eastAsia="Times New Roman"/>
              </w:rPr>
              <w:t>Photographs</w:t>
            </w:r>
          </w:p>
        </w:tc>
        <w:tc>
          <w:tcPr>
            <w:tcW w:w="6480" w:type="dxa"/>
          </w:tcPr>
          <w:p w14:paraId="4D97389D" w14:textId="77777777" w:rsidR="007A7B2B" w:rsidRPr="007A7B2B" w:rsidRDefault="007A7B2B" w:rsidP="007A7B2B">
            <w:pPr>
              <w:keepNext/>
              <w:keepLines/>
              <w:ind w:firstLine="0"/>
              <w:rPr>
                <w:rFonts w:eastAsia="Times New Roman"/>
              </w:rPr>
            </w:pPr>
            <w:r w:rsidRPr="007A7B2B">
              <w:rPr>
                <w:rFonts w:eastAsia="Times New Roman"/>
                <w:i/>
              </w:rPr>
              <w:t>Davis v. State</w:t>
            </w:r>
            <w:r w:rsidRPr="007A7B2B">
              <w:rPr>
                <w:rFonts w:eastAsia="Times New Roman"/>
              </w:rPr>
              <w:t>, 285 Ga. 343, 348 (2009)</w:t>
            </w:r>
          </w:p>
        </w:tc>
      </w:tr>
      <w:tr w:rsidR="007A7B2B" w:rsidRPr="007A7B2B" w14:paraId="08344B0A" w14:textId="77777777" w:rsidTr="0059785C">
        <w:tc>
          <w:tcPr>
            <w:tcW w:w="2965" w:type="dxa"/>
          </w:tcPr>
          <w:p w14:paraId="36C66EE4" w14:textId="77777777" w:rsidR="007A7B2B" w:rsidRPr="007A7B2B" w:rsidRDefault="007A7B2B" w:rsidP="007A7B2B">
            <w:pPr>
              <w:keepNext/>
              <w:keepLines/>
              <w:ind w:firstLine="0"/>
              <w:rPr>
                <w:rFonts w:eastAsia="Times New Roman"/>
              </w:rPr>
            </w:pPr>
            <w:r w:rsidRPr="007A7B2B">
              <w:rPr>
                <w:rFonts w:eastAsia="Times New Roman"/>
              </w:rPr>
              <w:t xml:space="preserve">Drawings on anatomically correct diagram </w:t>
            </w:r>
          </w:p>
        </w:tc>
        <w:tc>
          <w:tcPr>
            <w:tcW w:w="6480" w:type="dxa"/>
          </w:tcPr>
          <w:p w14:paraId="7598F678" w14:textId="77777777" w:rsidR="007A7B2B" w:rsidRPr="007A7B2B" w:rsidRDefault="007A7B2B" w:rsidP="007A7B2B">
            <w:pPr>
              <w:keepNext/>
              <w:keepLines/>
              <w:ind w:firstLine="0"/>
              <w:rPr>
                <w:rFonts w:eastAsia="Times New Roman"/>
              </w:rPr>
            </w:pPr>
            <w:r w:rsidRPr="007A7B2B">
              <w:rPr>
                <w:rFonts w:eastAsia="Times New Roman"/>
                <w:i/>
              </w:rPr>
              <w:t>Banks v. State</w:t>
            </w:r>
            <w:r w:rsidRPr="007A7B2B">
              <w:rPr>
                <w:rFonts w:eastAsia="Times New Roman"/>
              </w:rPr>
              <w:t xml:space="preserve">, 279 Ga. App. 57, 58-59 (2006), disapproved on other grounds </w:t>
            </w:r>
            <w:r w:rsidRPr="007A7B2B">
              <w:rPr>
                <w:rFonts w:eastAsia="Times New Roman"/>
                <w:i/>
              </w:rPr>
              <w:t>Patel v. State</w:t>
            </w:r>
            <w:r w:rsidRPr="007A7B2B">
              <w:rPr>
                <w:rFonts w:eastAsia="Times New Roman"/>
              </w:rPr>
              <w:t xml:space="preserve">, 282 Ga. 412 (2007) (child drawings); </w:t>
            </w:r>
            <w:r w:rsidRPr="007A7B2B">
              <w:rPr>
                <w:rFonts w:eastAsia="Times New Roman"/>
                <w:i/>
              </w:rPr>
              <w:t>Ruffin v. State</w:t>
            </w:r>
            <w:r w:rsidRPr="007A7B2B">
              <w:rPr>
                <w:rFonts w:eastAsia="Times New Roman"/>
              </w:rPr>
              <w:t xml:space="preserve">, 333 Ga. App. 793, 794-795 (2015) (nurse drawings); </w:t>
            </w:r>
            <w:r w:rsidRPr="007A7B2B">
              <w:rPr>
                <w:rFonts w:eastAsia="Times New Roman"/>
                <w:i/>
              </w:rPr>
              <w:t>James v. State</w:t>
            </w:r>
            <w:r w:rsidRPr="007A7B2B">
              <w:rPr>
                <w:rFonts w:eastAsia="Times New Roman"/>
              </w:rPr>
              <w:t xml:space="preserve">, 270 Ga. 675, 678 (1999) (medical examiner drawings); </w:t>
            </w:r>
            <w:r w:rsidRPr="007A7B2B">
              <w:rPr>
                <w:rFonts w:eastAsia="Times New Roman"/>
                <w:i/>
              </w:rPr>
              <w:t>Abernathy v. State</w:t>
            </w:r>
            <w:r w:rsidRPr="007A7B2B">
              <w:rPr>
                <w:rFonts w:eastAsia="Times New Roman"/>
              </w:rPr>
              <w:t xml:space="preserve">, 278 Ga. App. 574, 586-587 (2006) (child drawings); </w:t>
            </w:r>
            <w:r w:rsidRPr="007A7B2B">
              <w:rPr>
                <w:rFonts w:eastAsia="Times New Roman"/>
                <w:i/>
              </w:rPr>
              <w:t>Griffin v. State</w:t>
            </w:r>
            <w:r w:rsidRPr="007A7B2B">
              <w:rPr>
                <w:rFonts w:eastAsia="Times New Roman"/>
              </w:rPr>
              <w:t>, 243 Ga. App. 282, 286 (2000) (nurse drawings)</w:t>
            </w:r>
          </w:p>
        </w:tc>
      </w:tr>
      <w:tr w:rsidR="007A7B2B" w:rsidRPr="007A7B2B" w14:paraId="4B51786C" w14:textId="77777777" w:rsidTr="0059785C">
        <w:tc>
          <w:tcPr>
            <w:tcW w:w="2965" w:type="dxa"/>
          </w:tcPr>
          <w:p w14:paraId="592F7268" w14:textId="77777777" w:rsidR="007A7B2B" w:rsidRPr="007A7B2B" w:rsidRDefault="007A7B2B" w:rsidP="007A7B2B">
            <w:pPr>
              <w:keepNext/>
              <w:keepLines/>
              <w:ind w:firstLine="0"/>
              <w:rPr>
                <w:rFonts w:eastAsia="Times New Roman"/>
              </w:rPr>
            </w:pPr>
            <w:r w:rsidRPr="007A7B2B">
              <w:rPr>
                <w:rFonts w:eastAsia="Times New Roman"/>
              </w:rPr>
              <w:t>Surveillance tape (w/o audio)</w:t>
            </w:r>
          </w:p>
        </w:tc>
        <w:tc>
          <w:tcPr>
            <w:tcW w:w="6480" w:type="dxa"/>
          </w:tcPr>
          <w:p w14:paraId="0C44ED54" w14:textId="77777777" w:rsidR="007A7B2B" w:rsidRPr="007A7B2B" w:rsidRDefault="007A7B2B" w:rsidP="007A7B2B">
            <w:pPr>
              <w:keepNext/>
              <w:keepLines/>
              <w:ind w:firstLine="0"/>
              <w:rPr>
                <w:rFonts w:eastAsia="Times New Roman"/>
              </w:rPr>
            </w:pPr>
            <w:r w:rsidRPr="007A7B2B">
              <w:rPr>
                <w:rFonts w:eastAsia="Times New Roman"/>
                <w:i/>
              </w:rPr>
              <w:t>Matthews v. State</w:t>
            </w:r>
            <w:r w:rsidRPr="007A7B2B">
              <w:rPr>
                <w:rFonts w:eastAsia="Times New Roman"/>
              </w:rPr>
              <w:t>, 258 Ga. App. 29 (2002)</w:t>
            </w:r>
          </w:p>
        </w:tc>
      </w:tr>
      <w:tr w:rsidR="007A7B2B" w:rsidRPr="007A7B2B" w14:paraId="12B6348E" w14:textId="77777777" w:rsidTr="0059785C">
        <w:tc>
          <w:tcPr>
            <w:tcW w:w="2965" w:type="dxa"/>
          </w:tcPr>
          <w:p w14:paraId="0F8596F6" w14:textId="77777777" w:rsidR="007A7B2B" w:rsidRPr="007A7B2B" w:rsidRDefault="007A7B2B" w:rsidP="007A7B2B">
            <w:pPr>
              <w:keepNext/>
              <w:keepLines/>
              <w:ind w:firstLine="0"/>
              <w:rPr>
                <w:rFonts w:eastAsia="Times New Roman"/>
              </w:rPr>
            </w:pPr>
            <w:r w:rsidRPr="007A7B2B">
              <w:rPr>
                <w:rFonts w:eastAsia="Times New Roman"/>
              </w:rPr>
              <w:t>Copy of implied consent card</w:t>
            </w:r>
          </w:p>
        </w:tc>
        <w:tc>
          <w:tcPr>
            <w:tcW w:w="6480" w:type="dxa"/>
          </w:tcPr>
          <w:p w14:paraId="12FD1909" w14:textId="77777777" w:rsidR="007A7B2B" w:rsidRPr="007A7B2B" w:rsidRDefault="007A7B2B" w:rsidP="007A7B2B">
            <w:pPr>
              <w:keepNext/>
              <w:keepLines/>
              <w:ind w:firstLine="0"/>
              <w:rPr>
                <w:rFonts w:eastAsia="Times New Roman"/>
              </w:rPr>
            </w:pPr>
            <w:proofErr w:type="spellStart"/>
            <w:r w:rsidRPr="007A7B2B">
              <w:rPr>
                <w:rFonts w:eastAsia="Times New Roman"/>
                <w:i/>
              </w:rPr>
              <w:t>Sagenich</w:t>
            </w:r>
            <w:proofErr w:type="spellEnd"/>
            <w:r w:rsidRPr="007A7B2B">
              <w:rPr>
                <w:rFonts w:eastAsia="Times New Roman"/>
                <w:i/>
              </w:rPr>
              <w:t xml:space="preserve"> v. State</w:t>
            </w:r>
            <w:r w:rsidRPr="007A7B2B">
              <w:rPr>
                <w:rFonts w:eastAsia="Times New Roman"/>
              </w:rPr>
              <w:t>, 255 Ga. App. 663, 664 (2002)</w:t>
            </w:r>
          </w:p>
        </w:tc>
      </w:tr>
      <w:tr w:rsidR="007A7B2B" w:rsidRPr="007A7B2B" w14:paraId="7E58BF39" w14:textId="77777777" w:rsidTr="0059785C">
        <w:tc>
          <w:tcPr>
            <w:tcW w:w="2965" w:type="dxa"/>
          </w:tcPr>
          <w:p w14:paraId="730AED98" w14:textId="77777777" w:rsidR="007A7B2B" w:rsidRPr="007A7B2B" w:rsidRDefault="007A7B2B" w:rsidP="007A7B2B">
            <w:pPr>
              <w:keepNext/>
              <w:keepLines/>
              <w:ind w:firstLine="0"/>
              <w:rPr>
                <w:rFonts w:eastAsia="Times New Roman"/>
              </w:rPr>
            </w:pPr>
            <w:r w:rsidRPr="007A7B2B">
              <w:rPr>
                <w:rFonts w:eastAsia="Times New Roman"/>
              </w:rPr>
              <w:t>Print out of Intoxilyzer test result</w:t>
            </w:r>
          </w:p>
        </w:tc>
        <w:tc>
          <w:tcPr>
            <w:tcW w:w="6480" w:type="dxa"/>
          </w:tcPr>
          <w:p w14:paraId="0549E166" w14:textId="77777777" w:rsidR="007A7B2B" w:rsidRPr="007A7B2B" w:rsidRDefault="007A7B2B" w:rsidP="007A7B2B">
            <w:pPr>
              <w:keepNext/>
              <w:keepLines/>
              <w:ind w:firstLine="0"/>
              <w:rPr>
                <w:rFonts w:eastAsia="Times New Roman"/>
              </w:rPr>
            </w:pPr>
            <w:r w:rsidRPr="007A7B2B">
              <w:rPr>
                <w:rFonts w:eastAsia="Times New Roman"/>
                <w:i/>
              </w:rPr>
              <w:t>Whiteley v. State</w:t>
            </w:r>
            <w:r w:rsidRPr="007A7B2B">
              <w:rPr>
                <w:rFonts w:eastAsia="Times New Roman"/>
              </w:rPr>
              <w:t>, 188 Ga. App. 129, 132 (1988)</w:t>
            </w:r>
          </w:p>
        </w:tc>
      </w:tr>
      <w:tr w:rsidR="007A7B2B" w:rsidRPr="007A7B2B" w14:paraId="64A0AA68" w14:textId="77777777" w:rsidTr="0059785C">
        <w:tc>
          <w:tcPr>
            <w:tcW w:w="2965" w:type="dxa"/>
          </w:tcPr>
          <w:p w14:paraId="2DACDE40" w14:textId="77777777" w:rsidR="007A7B2B" w:rsidRPr="007A7B2B" w:rsidRDefault="007A7B2B" w:rsidP="007A7B2B">
            <w:pPr>
              <w:keepNext/>
              <w:keepLines/>
              <w:ind w:firstLine="0"/>
              <w:rPr>
                <w:rFonts w:eastAsia="Times New Roman"/>
              </w:rPr>
            </w:pPr>
            <w:r w:rsidRPr="007A7B2B">
              <w:rPr>
                <w:rFonts w:eastAsia="Times New Roman"/>
              </w:rPr>
              <w:t>Police artist sketch</w:t>
            </w:r>
          </w:p>
        </w:tc>
        <w:tc>
          <w:tcPr>
            <w:tcW w:w="6480" w:type="dxa"/>
          </w:tcPr>
          <w:p w14:paraId="5BD7107E" w14:textId="77777777" w:rsidR="007A7B2B" w:rsidRPr="007A7B2B" w:rsidRDefault="007A7B2B" w:rsidP="007A7B2B">
            <w:pPr>
              <w:keepNext/>
              <w:keepLines/>
              <w:ind w:firstLine="0"/>
              <w:rPr>
                <w:rFonts w:eastAsia="Times New Roman"/>
              </w:rPr>
            </w:pPr>
            <w:r w:rsidRPr="007A7B2B">
              <w:rPr>
                <w:rFonts w:eastAsia="Times New Roman"/>
                <w:i/>
              </w:rPr>
              <w:t>Sims v. State</w:t>
            </w:r>
            <w:r w:rsidRPr="007A7B2B">
              <w:rPr>
                <w:rFonts w:eastAsia="Times New Roman"/>
              </w:rPr>
              <w:t>, 275 Ga. App. 836, 840 (2005)</w:t>
            </w:r>
          </w:p>
        </w:tc>
      </w:tr>
      <w:tr w:rsidR="007A7B2B" w:rsidRPr="007A7B2B" w14:paraId="744E6101" w14:textId="77777777" w:rsidTr="0059785C">
        <w:tc>
          <w:tcPr>
            <w:tcW w:w="2965" w:type="dxa"/>
          </w:tcPr>
          <w:p w14:paraId="02B6428F" w14:textId="77777777" w:rsidR="007A7B2B" w:rsidRPr="007A7B2B" w:rsidRDefault="007A7B2B" w:rsidP="007A7B2B">
            <w:pPr>
              <w:keepNext/>
              <w:keepLines/>
              <w:ind w:firstLine="0"/>
              <w:rPr>
                <w:rFonts w:eastAsia="Times New Roman"/>
              </w:rPr>
            </w:pPr>
            <w:r w:rsidRPr="007A7B2B">
              <w:rPr>
                <w:rFonts w:eastAsia="Times New Roman"/>
              </w:rPr>
              <w:t>GBI crime lab report (but not if merely conclusions)</w:t>
            </w:r>
          </w:p>
        </w:tc>
        <w:tc>
          <w:tcPr>
            <w:tcW w:w="6480" w:type="dxa"/>
          </w:tcPr>
          <w:p w14:paraId="25241535" w14:textId="77777777" w:rsidR="007A7B2B" w:rsidRPr="007A7B2B" w:rsidRDefault="007A7B2B" w:rsidP="007A7B2B">
            <w:pPr>
              <w:keepNext/>
              <w:keepLines/>
              <w:ind w:firstLine="0"/>
              <w:rPr>
                <w:rFonts w:eastAsia="Times New Roman"/>
              </w:rPr>
            </w:pPr>
            <w:r w:rsidRPr="007A7B2B">
              <w:rPr>
                <w:rFonts w:eastAsia="Times New Roman"/>
                <w:i/>
              </w:rPr>
              <w:t>Ogburn v. State</w:t>
            </w:r>
            <w:r w:rsidRPr="007A7B2B">
              <w:rPr>
                <w:rFonts w:eastAsia="Times New Roman"/>
              </w:rPr>
              <w:t xml:space="preserve">, 196 Ga. App. 254, 257 (2009); </w:t>
            </w:r>
            <w:r w:rsidRPr="007A7B2B">
              <w:rPr>
                <w:rFonts w:eastAsia="Times New Roman"/>
                <w:i/>
              </w:rPr>
              <w:t>Tanner v. State</w:t>
            </w:r>
            <w:r w:rsidRPr="007A7B2B">
              <w:rPr>
                <w:rFonts w:eastAsia="Times New Roman"/>
              </w:rPr>
              <w:t xml:space="preserve">, 259 Ga. App. 94, 97-98 (2003); </w:t>
            </w:r>
            <w:r w:rsidRPr="007A7B2B">
              <w:rPr>
                <w:rFonts w:eastAsia="Times New Roman"/>
                <w:i/>
              </w:rPr>
              <w:t>Starks v. State</w:t>
            </w:r>
            <w:r w:rsidRPr="007A7B2B">
              <w:rPr>
                <w:rFonts w:eastAsia="Times New Roman"/>
              </w:rPr>
              <w:t>, 240 Ga. App. 346 (1999)</w:t>
            </w:r>
          </w:p>
        </w:tc>
      </w:tr>
      <w:tr w:rsidR="007A7B2B" w:rsidRPr="007A7B2B" w14:paraId="6E459670" w14:textId="77777777" w:rsidTr="0059785C">
        <w:tc>
          <w:tcPr>
            <w:tcW w:w="2965" w:type="dxa"/>
          </w:tcPr>
          <w:p w14:paraId="7DEC5088" w14:textId="77777777" w:rsidR="007A7B2B" w:rsidRPr="007A7B2B" w:rsidRDefault="007A7B2B" w:rsidP="007A7B2B">
            <w:pPr>
              <w:keepNext/>
              <w:keepLines/>
              <w:ind w:firstLine="0"/>
              <w:rPr>
                <w:rFonts w:eastAsia="Times New Roman"/>
              </w:rPr>
            </w:pPr>
            <w:r w:rsidRPr="007A7B2B">
              <w:rPr>
                <w:rFonts w:eastAsia="Times New Roman"/>
              </w:rPr>
              <w:t>Medical records</w:t>
            </w:r>
          </w:p>
        </w:tc>
        <w:tc>
          <w:tcPr>
            <w:tcW w:w="6480" w:type="dxa"/>
          </w:tcPr>
          <w:p w14:paraId="6DDA6445" w14:textId="77777777" w:rsidR="007A7B2B" w:rsidRPr="007A7B2B" w:rsidRDefault="007A7B2B" w:rsidP="007A7B2B">
            <w:pPr>
              <w:keepNext/>
              <w:keepLines/>
              <w:ind w:firstLine="0"/>
              <w:rPr>
                <w:rFonts w:eastAsia="Times New Roman"/>
              </w:rPr>
            </w:pPr>
            <w:r w:rsidRPr="007A7B2B">
              <w:rPr>
                <w:rFonts w:eastAsia="Times New Roman"/>
                <w:i/>
              </w:rPr>
              <w:t>Hodson v. Mawson</w:t>
            </w:r>
            <w:r w:rsidRPr="007A7B2B">
              <w:rPr>
                <w:rFonts w:eastAsia="Times New Roman"/>
              </w:rPr>
              <w:t>, 227 Ga. App. 490 (1997)</w:t>
            </w:r>
          </w:p>
        </w:tc>
      </w:tr>
      <w:tr w:rsidR="007A7B2B" w:rsidRPr="007A7B2B" w14:paraId="2AA0AD6B" w14:textId="77777777" w:rsidTr="0059785C">
        <w:tc>
          <w:tcPr>
            <w:tcW w:w="2965" w:type="dxa"/>
          </w:tcPr>
          <w:p w14:paraId="7EA92BC3" w14:textId="77777777" w:rsidR="007A7B2B" w:rsidRPr="007A7B2B" w:rsidRDefault="007A7B2B" w:rsidP="007A7B2B">
            <w:pPr>
              <w:keepNext/>
              <w:keepLines/>
              <w:ind w:firstLine="0"/>
              <w:rPr>
                <w:rFonts w:eastAsia="Times New Roman"/>
              </w:rPr>
            </w:pPr>
            <w:r w:rsidRPr="007A7B2B">
              <w:rPr>
                <w:rFonts w:eastAsia="Times New Roman"/>
              </w:rPr>
              <w:t>Copy of municipal ordinance</w:t>
            </w:r>
          </w:p>
        </w:tc>
        <w:tc>
          <w:tcPr>
            <w:tcW w:w="6480" w:type="dxa"/>
          </w:tcPr>
          <w:p w14:paraId="3B00D964" w14:textId="77777777" w:rsidR="007A7B2B" w:rsidRPr="007A7B2B" w:rsidRDefault="007A7B2B" w:rsidP="007A7B2B">
            <w:pPr>
              <w:keepNext/>
              <w:keepLines/>
              <w:ind w:firstLine="0"/>
              <w:rPr>
                <w:rFonts w:eastAsia="Times New Roman"/>
              </w:rPr>
            </w:pPr>
            <w:r w:rsidRPr="007A7B2B">
              <w:rPr>
                <w:rFonts w:eastAsia="Times New Roman"/>
                <w:i/>
              </w:rPr>
              <w:t>Davis v. State</w:t>
            </w:r>
            <w:r w:rsidRPr="007A7B2B">
              <w:rPr>
                <w:rFonts w:eastAsia="Times New Roman"/>
              </w:rPr>
              <w:t>, 172 Ga. App. 193, 194 (1984)</w:t>
            </w:r>
          </w:p>
        </w:tc>
      </w:tr>
      <w:tr w:rsidR="007A7B2B" w:rsidRPr="007A7B2B" w14:paraId="2C6C9199" w14:textId="77777777" w:rsidTr="0059785C">
        <w:tc>
          <w:tcPr>
            <w:tcW w:w="2965" w:type="dxa"/>
          </w:tcPr>
          <w:p w14:paraId="71299E69" w14:textId="77777777" w:rsidR="007A7B2B" w:rsidRPr="007A7B2B" w:rsidRDefault="007A7B2B" w:rsidP="007A7B2B">
            <w:pPr>
              <w:keepNext/>
              <w:keepLines/>
              <w:ind w:firstLine="0"/>
              <w:rPr>
                <w:rFonts w:eastAsia="Times New Roman"/>
              </w:rPr>
            </w:pPr>
            <w:r w:rsidRPr="007A7B2B">
              <w:rPr>
                <w:rFonts w:eastAsia="Times New Roman"/>
              </w:rPr>
              <w:t>Certified copies of prior convictions introduced for impeachment (REDACTED)</w:t>
            </w:r>
            <w:r w:rsidRPr="007A7B2B">
              <w:rPr>
                <w:rFonts w:eastAsia="Times New Roman"/>
                <w:b/>
                <w:vertAlign w:val="superscript"/>
              </w:rPr>
              <w:endnoteReference w:id="7"/>
            </w:r>
          </w:p>
        </w:tc>
        <w:tc>
          <w:tcPr>
            <w:tcW w:w="6480" w:type="dxa"/>
          </w:tcPr>
          <w:p w14:paraId="64AF195B" w14:textId="77777777" w:rsidR="007A7B2B" w:rsidRPr="007A7B2B" w:rsidRDefault="007A7B2B" w:rsidP="007A7B2B">
            <w:pPr>
              <w:keepNext/>
              <w:keepLines/>
              <w:ind w:firstLine="0"/>
              <w:rPr>
                <w:rFonts w:eastAsia="Times New Roman"/>
              </w:rPr>
            </w:pPr>
            <w:r w:rsidRPr="007A7B2B">
              <w:rPr>
                <w:rFonts w:eastAsia="Times New Roman"/>
                <w:i/>
              </w:rPr>
              <w:t>Relaford v. State</w:t>
            </w:r>
            <w:r w:rsidRPr="007A7B2B">
              <w:rPr>
                <w:rFonts w:eastAsia="Times New Roman"/>
              </w:rPr>
              <w:t>, 306 Ga. App. 549, 557 (2010)</w:t>
            </w:r>
          </w:p>
        </w:tc>
      </w:tr>
      <w:tr w:rsidR="007A7B2B" w:rsidRPr="007A7B2B" w14:paraId="01A88449" w14:textId="77777777" w:rsidTr="0059785C">
        <w:tc>
          <w:tcPr>
            <w:tcW w:w="2965" w:type="dxa"/>
          </w:tcPr>
          <w:p w14:paraId="5C1A76BE" w14:textId="77777777" w:rsidR="007A7B2B" w:rsidRPr="007A7B2B" w:rsidRDefault="007A7B2B" w:rsidP="007A7B2B">
            <w:pPr>
              <w:keepNext/>
              <w:keepLines/>
              <w:ind w:firstLine="0"/>
              <w:rPr>
                <w:rFonts w:eastAsia="Times New Roman"/>
              </w:rPr>
            </w:pPr>
            <w:r w:rsidRPr="007A7B2B">
              <w:rPr>
                <w:rFonts w:eastAsia="Times New Roman"/>
              </w:rPr>
              <w:t>Rule 24.2 affidavits in domestic relations cases</w:t>
            </w:r>
          </w:p>
        </w:tc>
        <w:tc>
          <w:tcPr>
            <w:tcW w:w="6480" w:type="dxa"/>
          </w:tcPr>
          <w:p w14:paraId="7E4A40E5" w14:textId="77777777" w:rsidR="007A7B2B" w:rsidRPr="007A7B2B" w:rsidRDefault="007A7B2B" w:rsidP="007A7B2B">
            <w:pPr>
              <w:keepNext/>
              <w:keepLines/>
              <w:ind w:firstLine="0"/>
              <w:rPr>
                <w:rFonts w:eastAsia="Times New Roman"/>
              </w:rPr>
            </w:pPr>
            <w:r w:rsidRPr="007A7B2B">
              <w:rPr>
                <w:rFonts w:eastAsia="Times New Roman"/>
                <w:i/>
              </w:rPr>
              <w:t>McAlpine v. Leveille</w:t>
            </w:r>
            <w:r w:rsidRPr="007A7B2B">
              <w:rPr>
                <w:rFonts w:eastAsia="Times New Roman"/>
              </w:rPr>
              <w:t>, 258 Ga. 422, 423 (1988)</w:t>
            </w:r>
          </w:p>
        </w:tc>
      </w:tr>
    </w:tbl>
    <w:p w14:paraId="23FE858C" w14:textId="77777777" w:rsidR="007A7B2B" w:rsidRDefault="007A7B2B" w:rsidP="007A7B2B">
      <w:pPr>
        <w:spacing w:before="120" w:after="240" w:line="480" w:lineRule="auto"/>
        <w:ind w:right="720"/>
        <w:rPr>
          <w:rFonts w:eastAsia="Arial"/>
          <w:bCs/>
          <w:color w:val="auto"/>
          <w:kern w:val="0"/>
          <w:sz w:val="28"/>
          <w:szCs w:val="28"/>
          <w14:ligatures w14:val="none"/>
        </w:rPr>
      </w:pPr>
    </w:p>
    <w:p w14:paraId="77D2B3CE" w14:textId="3386C779" w:rsidR="007A7B2B" w:rsidRDefault="007A7B2B">
      <w:pPr>
        <w:rPr>
          <w:rFonts w:eastAsia="Arial"/>
          <w:bCs/>
          <w:color w:val="auto"/>
          <w:kern w:val="0"/>
          <w:sz w:val="28"/>
          <w:szCs w:val="28"/>
          <w14:ligatures w14:val="none"/>
        </w:rPr>
      </w:pPr>
      <w:r>
        <w:rPr>
          <w:rFonts w:eastAsia="Arial"/>
          <w:bCs/>
          <w:color w:val="auto"/>
          <w:kern w:val="0"/>
          <w:sz w:val="28"/>
          <w:szCs w:val="28"/>
          <w14:ligatures w14:val="none"/>
        </w:rPr>
        <w:br w:type="page"/>
      </w:r>
    </w:p>
    <w:tbl>
      <w:tblPr>
        <w:tblStyle w:val="TableGrid4"/>
        <w:tblW w:w="9445" w:type="dxa"/>
        <w:tblCellMar>
          <w:left w:w="43" w:type="dxa"/>
          <w:right w:w="43" w:type="dxa"/>
        </w:tblCellMar>
        <w:tblLook w:val="04A0" w:firstRow="1" w:lastRow="0" w:firstColumn="1" w:lastColumn="0" w:noHBand="0" w:noVBand="1"/>
      </w:tblPr>
      <w:tblGrid>
        <w:gridCol w:w="4495"/>
        <w:gridCol w:w="4950"/>
      </w:tblGrid>
      <w:tr w:rsidR="007A7B2B" w:rsidRPr="007A7B2B" w14:paraId="694902CA" w14:textId="77777777" w:rsidTr="0059785C">
        <w:tc>
          <w:tcPr>
            <w:tcW w:w="9445" w:type="dxa"/>
            <w:gridSpan w:val="2"/>
          </w:tcPr>
          <w:p w14:paraId="6961D583" w14:textId="77777777" w:rsidR="007A7B2B" w:rsidRPr="007A7B2B" w:rsidRDefault="007A7B2B" w:rsidP="007A7B2B">
            <w:pPr>
              <w:keepNext/>
              <w:keepLines/>
              <w:ind w:firstLine="0"/>
              <w:jc w:val="center"/>
              <w:rPr>
                <w:rFonts w:eastAsia="Times New Roman"/>
                <w:b/>
              </w:rPr>
            </w:pPr>
            <w:r w:rsidRPr="007A7B2B">
              <w:rPr>
                <w:rFonts w:eastAsia="Times New Roman"/>
                <w:b/>
              </w:rPr>
              <w:lastRenderedPageBreak/>
              <w:t xml:space="preserve">EVIDENCE WHICH </w:t>
            </w:r>
            <w:r w:rsidRPr="007A7B2B">
              <w:rPr>
                <w:rFonts w:eastAsia="Times New Roman"/>
                <w:b/>
                <w:u w:val="single"/>
              </w:rPr>
              <w:t>IS NOT ALLOWED</w:t>
            </w:r>
            <w:r w:rsidRPr="007A7B2B">
              <w:rPr>
                <w:rFonts w:eastAsia="Times New Roman"/>
                <w:b/>
              </w:rPr>
              <w:t xml:space="preserve"> UNDER CONTINUING WITNESS RULE</w:t>
            </w:r>
          </w:p>
        </w:tc>
      </w:tr>
      <w:tr w:rsidR="007A7B2B" w:rsidRPr="007A7B2B" w14:paraId="4019E191" w14:textId="77777777" w:rsidTr="0059785C">
        <w:tc>
          <w:tcPr>
            <w:tcW w:w="4495" w:type="dxa"/>
          </w:tcPr>
          <w:p w14:paraId="30FCF76B" w14:textId="77777777" w:rsidR="007A7B2B" w:rsidRPr="007A7B2B" w:rsidRDefault="007A7B2B" w:rsidP="007A7B2B">
            <w:pPr>
              <w:keepNext/>
              <w:keepLines/>
              <w:ind w:firstLine="0"/>
              <w:rPr>
                <w:rFonts w:eastAsia="Times New Roman"/>
              </w:rPr>
            </w:pPr>
            <w:r w:rsidRPr="007A7B2B">
              <w:rPr>
                <w:rFonts w:eastAsia="Times New Roman"/>
              </w:rPr>
              <w:t>Affidavits and depositions</w:t>
            </w:r>
          </w:p>
        </w:tc>
        <w:tc>
          <w:tcPr>
            <w:tcW w:w="4950" w:type="dxa"/>
          </w:tcPr>
          <w:p w14:paraId="73AC9D42" w14:textId="77777777" w:rsidR="007A7B2B" w:rsidRPr="007A7B2B" w:rsidRDefault="007A7B2B" w:rsidP="007A7B2B">
            <w:pPr>
              <w:keepNext/>
              <w:keepLines/>
              <w:ind w:firstLine="0"/>
              <w:rPr>
                <w:rFonts w:eastAsia="Times New Roman"/>
              </w:rPr>
            </w:pPr>
            <w:r w:rsidRPr="007A7B2B">
              <w:rPr>
                <w:rFonts w:eastAsia="Times New Roman"/>
                <w:i/>
              </w:rPr>
              <w:t>Tibbs v. Tibbs</w:t>
            </w:r>
            <w:r w:rsidRPr="007A7B2B">
              <w:rPr>
                <w:rFonts w:eastAsia="Times New Roman"/>
              </w:rPr>
              <w:t>, 257 Ga. 370, 371 (1987)</w:t>
            </w:r>
          </w:p>
        </w:tc>
      </w:tr>
      <w:tr w:rsidR="007A7B2B" w:rsidRPr="007A7B2B" w14:paraId="7DB03E11" w14:textId="77777777" w:rsidTr="0059785C">
        <w:tc>
          <w:tcPr>
            <w:tcW w:w="4495" w:type="dxa"/>
          </w:tcPr>
          <w:p w14:paraId="3BEF436E" w14:textId="77777777" w:rsidR="007A7B2B" w:rsidRPr="007A7B2B" w:rsidRDefault="007A7B2B" w:rsidP="007A7B2B">
            <w:pPr>
              <w:keepNext/>
              <w:keepLines/>
              <w:ind w:firstLine="0"/>
              <w:rPr>
                <w:rFonts w:eastAsia="Times New Roman"/>
              </w:rPr>
            </w:pPr>
            <w:r w:rsidRPr="007A7B2B">
              <w:rPr>
                <w:rFonts w:eastAsia="Times New Roman"/>
              </w:rPr>
              <w:t>Answers to written interrogatories</w:t>
            </w:r>
          </w:p>
        </w:tc>
        <w:tc>
          <w:tcPr>
            <w:tcW w:w="4950" w:type="dxa"/>
          </w:tcPr>
          <w:p w14:paraId="64FA9EF0" w14:textId="77777777" w:rsidR="007A7B2B" w:rsidRPr="007A7B2B" w:rsidRDefault="007A7B2B" w:rsidP="007A7B2B">
            <w:pPr>
              <w:keepNext/>
              <w:keepLines/>
              <w:ind w:firstLine="0"/>
              <w:rPr>
                <w:rFonts w:eastAsia="Times New Roman"/>
              </w:rPr>
            </w:pPr>
            <w:r w:rsidRPr="007A7B2B">
              <w:rPr>
                <w:rFonts w:eastAsia="Times New Roman"/>
                <w:i/>
              </w:rPr>
              <w:t>Shedden v. Stiles</w:t>
            </w:r>
            <w:r w:rsidRPr="007A7B2B">
              <w:rPr>
                <w:rFonts w:eastAsia="Times New Roman"/>
              </w:rPr>
              <w:t>, 121 Ga. 637 (1905)</w:t>
            </w:r>
          </w:p>
        </w:tc>
      </w:tr>
      <w:tr w:rsidR="007A7B2B" w:rsidRPr="007A7B2B" w14:paraId="5A6639DF" w14:textId="77777777" w:rsidTr="0059785C">
        <w:tc>
          <w:tcPr>
            <w:tcW w:w="4495" w:type="dxa"/>
          </w:tcPr>
          <w:p w14:paraId="6D4A0D0E" w14:textId="77777777" w:rsidR="007A7B2B" w:rsidRPr="007A7B2B" w:rsidRDefault="007A7B2B" w:rsidP="007A7B2B">
            <w:pPr>
              <w:keepNext/>
              <w:keepLines/>
              <w:ind w:firstLine="0"/>
              <w:rPr>
                <w:rFonts w:eastAsia="Times New Roman"/>
              </w:rPr>
            </w:pPr>
            <w:r w:rsidRPr="007A7B2B">
              <w:rPr>
                <w:rFonts w:eastAsia="Times New Roman"/>
              </w:rPr>
              <w:t>Written confessions</w:t>
            </w:r>
          </w:p>
        </w:tc>
        <w:tc>
          <w:tcPr>
            <w:tcW w:w="4950" w:type="dxa"/>
          </w:tcPr>
          <w:p w14:paraId="4CE3CE18" w14:textId="77777777" w:rsidR="007A7B2B" w:rsidRPr="007A7B2B" w:rsidRDefault="007A7B2B" w:rsidP="007A7B2B">
            <w:pPr>
              <w:keepNext/>
              <w:keepLines/>
              <w:ind w:firstLine="0"/>
              <w:rPr>
                <w:rFonts w:eastAsia="Times New Roman"/>
              </w:rPr>
            </w:pPr>
            <w:r w:rsidRPr="007A7B2B">
              <w:rPr>
                <w:rFonts w:eastAsia="Times New Roman"/>
                <w:i/>
              </w:rPr>
              <w:t>Davis v. State</w:t>
            </w:r>
            <w:r w:rsidRPr="007A7B2B">
              <w:rPr>
                <w:rFonts w:eastAsia="Times New Roman"/>
              </w:rPr>
              <w:t>, 285 Ga. 343, 348 (2009)</w:t>
            </w:r>
          </w:p>
        </w:tc>
      </w:tr>
      <w:tr w:rsidR="007A7B2B" w:rsidRPr="007A7B2B" w14:paraId="7E4BF6A6" w14:textId="77777777" w:rsidTr="0059785C">
        <w:tc>
          <w:tcPr>
            <w:tcW w:w="4495" w:type="dxa"/>
          </w:tcPr>
          <w:p w14:paraId="1EC700F9" w14:textId="77777777" w:rsidR="007A7B2B" w:rsidRPr="007A7B2B" w:rsidRDefault="007A7B2B" w:rsidP="007A7B2B">
            <w:pPr>
              <w:keepNext/>
              <w:keepLines/>
              <w:ind w:firstLine="0"/>
              <w:rPr>
                <w:rFonts w:eastAsia="Times New Roman"/>
              </w:rPr>
            </w:pPr>
            <w:r w:rsidRPr="007A7B2B">
              <w:rPr>
                <w:rFonts w:eastAsia="Times New Roman"/>
              </w:rPr>
              <w:t>Dying declarations</w:t>
            </w:r>
          </w:p>
        </w:tc>
        <w:tc>
          <w:tcPr>
            <w:tcW w:w="4950" w:type="dxa"/>
          </w:tcPr>
          <w:p w14:paraId="537D0595" w14:textId="77777777" w:rsidR="007A7B2B" w:rsidRPr="007A7B2B" w:rsidRDefault="007A7B2B" w:rsidP="007A7B2B">
            <w:pPr>
              <w:keepNext/>
              <w:keepLines/>
              <w:ind w:firstLine="0"/>
              <w:rPr>
                <w:rFonts w:eastAsia="Times New Roman"/>
              </w:rPr>
            </w:pPr>
            <w:r w:rsidRPr="007A7B2B">
              <w:rPr>
                <w:rFonts w:eastAsia="Times New Roman"/>
                <w:i/>
              </w:rPr>
              <w:t>Davis v. State</w:t>
            </w:r>
            <w:r w:rsidRPr="007A7B2B">
              <w:rPr>
                <w:rFonts w:eastAsia="Times New Roman"/>
              </w:rPr>
              <w:t xml:space="preserve">, 285 Ga. 343, 348 (2009); </w:t>
            </w:r>
            <w:r w:rsidRPr="007A7B2B">
              <w:rPr>
                <w:rFonts w:eastAsia="Times New Roman"/>
                <w:i/>
              </w:rPr>
              <w:t>Strickland v. State</w:t>
            </w:r>
            <w:r w:rsidRPr="007A7B2B">
              <w:rPr>
                <w:rFonts w:eastAsia="Times New Roman"/>
              </w:rPr>
              <w:t>, 167 Ga. 452, 460 (1928)</w:t>
            </w:r>
          </w:p>
        </w:tc>
      </w:tr>
      <w:tr w:rsidR="007A7B2B" w:rsidRPr="007A7B2B" w14:paraId="052F0FD0" w14:textId="77777777" w:rsidTr="0059785C">
        <w:tc>
          <w:tcPr>
            <w:tcW w:w="4495" w:type="dxa"/>
          </w:tcPr>
          <w:p w14:paraId="4342301F" w14:textId="77777777" w:rsidR="007A7B2B" w:rsidRPr="007A7B2B" w:rsidRDefault="007A7B2B" w:rsidP="007A7B2B">
            <w:pPr>
              <w:keepNext/>
              <w:keepLines/>
              <w:ind w:firstLine="0"/>
              <w:rPr>
                <w:rFonts w:eastAsia="Times New Roman"/>
              </w:rPr>
            </w:pPr>
            <w:r w:rsidRPr="007A7B2B">
              <w:rPr>
                <w:rFonts w:eastAsia="Times New Roman"/>
              </w:rPr>
              <w:t>Videotaped recording of interview or transcript of testimony</w:t>
            </w:r>
          </w:p>
        </w:tc>
        <w:tc>
          <w:tcPr>
            <w:tcW w:w="4950" w:type="dxa"/>
          </w:tcPr>
          <w:p w14:paraId="5D3CEBCD" w14:textId="77777777" w:rsidR="007A7B2B" w:rsidRPr="007A7B2B" w:rsidRDefault="007A7B2B" w:rsidP="007A7B2B">
            <w:pPr>
              <w:keepNext/>
              <w:keepLines/>
              <w:ind w:firstLine="0"/>
              <w:rPr>
                <w:rFonts w:eastAsia="Times New Roman"/>
              </w:rPr>
            </w:pPr>
            <w:r w:rsidRPr="007A7B2B">
              <w:rPr>
                <w:rFonts w:eastAsia="Times New Roman"/>
                <w:i/>
              </w:rPr>
              <w:t>Summage v. State</w:t>
            </w:r>
            <w:r w:rsidRPr="007A7B2B">
              <w:rPr>
                <w:rFonts w:eastAsia="Times New Roman"/>
              </w:rPr>
              <w:t xml:space="preserve">, 248 Ga. App. 559, 561 (2001); </w:t>
            </w:r>
            <w:r w:rsidRPr="007A7B2B">
              <w:rPr>
                <w:rFonts w:eastAsia="Times New Roman"/>
                <w:i/>
              </w:rPr>
              <w:t>Hinton v. State</w:t>
            </w:r>
            <w:r w:rsidRPr="007A7B2B">
              <w:rPr>
                <w:rFonts w:eastAsia="Times New Roman"/>
              </w:rPr>
              <w:t xml:space="preserve">, 233 Ga. App. 213 (1998) </w:t>
            </w:r>
          </w:p>
        </w:tc>
      </w:tr>
      <w:tr w:rsidR="007A7B2B" w:rsidRPr="007A7B2B" w14:paraId="7FE1F4AF" w14:textId="77777777" w:rsidTr="0059785C">
        <w:tc>
          <w:tcPr>
            <w:tcW w:w="4495" w:type="dxa"/>
          </w:tcPr>
          <w:p w14:paraId="797E4718" w14:textId="77777777" w:rsidR="007A7B2B" w:rsidRPr="007A7B2B" w:rsidRDefault="007A7B2B" w:rsidP="007A7B2B">
            <w:pPr>
              <w:keepNext/>
              <w:keepLines/>
              <w:ind w:firstLine="0"/>
              <w:rPr>
                <w:rFonts w:eastAsia="Times New Roman"/>
              </w:rPr>
            </w:pPr>
            <w:r w:rsidRPr="007A7B2B">
              <w:rPr>
                <w:rFonts w:eastAsia="Times New Roman"/>
              </w:rPr>
              <w:t>Video or audio recording of statement of defendant</w:t>
            </w:r>
          </w:p>
        </w:tc>
        <w:tc>
          <w:tcPr>
            <w:tcW w:w="4950" w:type="dxa"/>
          </w:tcPr>
          <w:p w14:paraId="7C7A6E2F" w14:textId="77777777" w:rsidR="007A7B2B" w:rsidRPr="007A7B2B" w:rsidRDefault="007A7B2B" w:rsidP="007A7B2B">
            <w:pPr>
              <w:keepNext/>
              <w:keepLines/>
              <w:ind w:firstLine="0"/>
              <w:rPr>
                <w:rFonts w:eastAsia="Times New Roman"/>
              </w:rPr>
            </w:pPr>
            <w:r w:rsidRPr="007A7B2B">
              <w:rPr>
                <w:rFonts w:eastAsia="Times New Roman"/>
                <w:i/>
              </w:rPr>
              <w:t>Fields v. State</w:t>
            </w:r>
            <w:r w:rsidRPr="007A7B2B">
              <w:rPr>
                <w:rFonts w:eastAsia="Times New Roman"/>
              </w:rPr>
              <w:t xml:space="preserve">, 266 Ga. 241, 243 (1996); </w:t>
            </w:r>
            <w:r w:rsidRPr="007A7B2B">
              <w:rPr>
                <w:rFonts w:eastAsia="Times New Roman"/>
                <w:i/>
              </w:rPr>
              <w:t>Ross v. State</w:t>
            </w:r>
            <w:r w:rsidRPr="007A7B2B">
              <w:rPr>
                <w:rFonts w:eastAsia="Times New Roman"/>
              </w:rPr>
              <w:t>, 344 Ga. App. 477, 479-480 (2018)</w:t>
            </w:r>
          </w:p>
        </w:tc>
      </w:tr>
      <w:tr w:rsidR="007A7B2B" w:rsidRPr="007A7B2B" w14:paraId="0C5061B0" w14:textId="77777777" w:rsidTr="0059785C">
        <w:tc>
          <w:tcPr>
            <w:tcW w:w="4495" w:type="dxa"/>
          </w:tcPr>
          <w:p w14:paraId="1A74E845" w14:textId="77777777" w:rsidR="007A7B2B" w:rsidRPr="007A7B2B" w:rsidRDefault="007A7B2B" w:rsidP="007A7B2B">
            <w:pPr>
              <w:keepNext/>
              <w:keepLines/>
              <w:ind w:firstLine="0"/>
              <w:rPr>
                <w:rFonts w:eastAsia="Times New Roman"/>
              </w:rPr>
            </w:pPr>
            <w:r w:rsidRPr="007A7B2B">
              <w:rPr>
                <w:rFonts w:eastAsia="Times New Roman"/>
              </w:rPr>
              <w:t>Narrative portions of police report</w:t>
            </w:r>
          </w:p>
        </w:tc>
        <w:tc>
          <w:tcPr>
            <w:tcW w:w="4950" w:type="dxa"/>
          </w:tcPr>
          <w:p w14:paraId="11FF5AF0" w14:textId="77777777" w:rsidR="007A7B2B" w:rsidRPr="007A7B2B" w:rsidRDefault="007A7B2B" w:rsidP="007A7B2B">
            <w:pPr>
              <w:keepNext/>
              <w:keepLines/>
              <w:ind w:firstLine="0"/>
              <w:rPr>
                <w:rFonts w:eastAsia="Times New Roman"/>
              </w:rPr>
            </w:pPr>
            <w:r w:rsidRPr="007A7B2B">
              <w:rPr>
                <w:rFonts w:eastAsia="Times New Roman"/>
                <w:i/>
              </w:rPr>
              <w:t>Hopkins v. State</w:t>
            </w:r>
            <w:r w:rsidRPr="007A7B2B">
              <w:rPr>
                <w:rFonts w:eastAsia="Times New Roman"/>
              </w:rPr>
              <w:t>, 283 Ga. App. 654, 659 (2007)</w:t>
            </w:r>
          </w:p>
        </w:tc>
      </w:tr>
      <w:tr w:rsidR="007A7B2B" w:rsidRPr="007A7B2B" w14:paraId="113AD883" w14:textId="77777777" w:rsidTr="0059785C">
        <w:tc>
          <w:tcPr>
            <w:tcW w:w="4495" w:type="dxa"/>
          </w:tcPr>
          <w:p w14:paraId="02C04EC5" w14:textId="77777777" w:rsidR="007A7B2B" w:rsidRPr="007A7B2B" w:rsidRDefault="007A7B2B" w:rsidP="007A7B2B">
            <w:pPr>
              <w:keepNext/>
              <w:keepLines/>
              <w:ind w:firstLine="0"/>
              <w:rPr>
                <w:rFonts w:eastAsia="Times New Roman"/>
              </w:rPr>
            </w:pPr>
            <w:r w:rsidRPr="007A7B2B">
              <w:rPr>
                <w:rFonts w:eastAsia="Times New Roman"/>
              </w:rPr>
              <w:t>Search warrants or arrest warrants</w:t>
            </w:r>
          </w:p>
        </w:tc>
        <w:tc>
          <w:tcPr>
            <w:tcW w:w="4950" w:type="dxa"/>
          </w:tcPr>
          <w:p w14:paraId="269A8707" w14:textId="77777777" w:rsidR="007A7B2B" w:rsidRPr="007A7B2B" w:rsidRDefault="007A7B2B" w:rsidP="007A7B2B">
            <w:pPr>
              <w:keepNext/>
              <w:keepLines/>
              <w:ind w:firstLine="0"/>
              <w:rPr>
                <w:rFonts w:eastAsia="Times New Roman"/>
              </w:rPr>
            </w:pPr>
            <w:r w:rsidRPr="007A7B2B">
              <w:rPr>
                <w:rFonts w:eastAsia="Times New Roman"/>
                <w:i/>
              </w:rPr>
              <w:t>Nelson v. State</w:t>
            </w:r>
            <w:r w:rsidRPr="007A7B2B">
              <w:rPr>
                <w:rFonts w:eastAsia="Times New Roman"/>
              </w:rPr>
              <w:t xml:space="preserve">, 197 Ga. App. 898, 899-900 (1990); </w:t>
            </w:r>
            <w:r w:rsidRPr="007A7B2B">
              <w:rPr>
                <w:rFonts w:eastAsia="Times New Roman"/>
                <w:i/>
              </w:rPr>
              <w:t>Cain v. State</w:t>
            </w:r>
            <w:r w:rsidRPr="007A7B2B">
              <w:rPr>
                <w:rFonts w:eastAsia="Times New Roman"/>
              </w:rPr>
              <w:t>, 113 Ga. App. 477, 481 (1996)</w:t>
            </w:r>
          </w:p>
        </w:tc>
      </w:tr>
      <w:tr w:rsidR="007A7B2B" w:rsidRPr="007A7B2B" w14:paraId="3C277BA1" w14:textId="77777777" w:rsidTr="0059785C">
        <w:tc>
          <w:tcPr>
            <w:tcW w:w="4495" w:type="dxa"/>
          </w:tcPr>
          <w:p w14:paraId="1990D037" w14:textId="77777777" w:rsidR="007A7B2B" w:rsidRPr="007A7B2B" w:rsidRDefault="007A7B2B" w:rsidP="007A7B2B">
            <w:pPr>
              <w:keepNext/>
              <w:keepLines/>
              <w:ind w:firstLine="0"/>
              <w:rPr>
                <w:rFonts w:eastAsia="Times New Roman"/>
              </w:rPr>
            </w:pPr>
            <w:r w:rsidRPr="007A7B2B">
              <w:rPr>
                <w:rFonts w:eastAsia="Times New Roman"/>
              </w:rPr>
              <w:t>Report of document examiner that included only conclusions (no evidence of type of testing, how testing conducted)</w:t>
            </w:r>
          </w:p>
        </w:tc>
        <w:tc>
          <w:tcPr>
            <w:tcW w:w="4950" w:type="dxa"/>
          </w:tcPr>
          <w:p w14:paraId="6390916A" w14:textId="77777777" w:rsidR="007A7B2B" w:rsidRPr="007A7B2B" w:rsidRDefault="007A7B2B" w:rsidP="007A7B2B">
            <w:pPr>
              <w:keepNext/>
              <w:keepLines/>
              <w:ind w:firstLine="0"/>
              <w:rPr>
                <w:rFonts w:eastAsia="Times New Roman"/>
              </w:rPr>
            </w:pPr>
            <w:r w:rsidRPr="007A7B2B">
              <w:rPr>
                <w:rFonts w:eastAsia="Times New Roman"/>
                <w:i/>
              </w:rPr>
              <w:t>Roberts v. State</w:t>
            </w:r>
            <w:r w:rsidRPr="007A7B2B">
              <w:rPr>
                <w:rFonts w:eastAsia="Times New Roman"/>
              </w:rPr>
              <w:t>, 282 Ga. 548, 552-553 (2007)</w:t>
            </w:r>
          </w:p>
        </w:tc>
      </w:tr>
      <w:tr w:rsidR="007A7B2B" w:rsidRPr="007A7B2B" w14:paraId="725743D0" w14:textId="77777777" w:rsidTr="0059785C">
        <w:tc>
          <w:tcPr>
            <w:tcW w:w="4495" w:type="dxa"/>
          </w:tcPr>
          <w:p w14:paraId="51BEAD73" w14:textId="77777777" w:rsidR="007A7B2B" w:rsidRPr="007A7B2B" w:rsidRDefault="007A7B2B" w:rsidP="007A7B2B">
            <w:pPr>
              <w:keepNext/>
              <w:keepLines/>
              <w:ind w:firstLine="0"/>
              <w:rPr>
                <w:rFonts w:eastAsia="Times New Roman"/>
              </w:rPr>
            </w:pPr>
            <w:r w:rsidRPr="007A7B2B">
              <w:rPr>
                <w:rFonts w:eastAsia="Times New Roman"/>
              </w:rPr>
              <w:t>Written or recorded statement of victim</w:t>
            </w:r>
          </w:p>
        </w:tc>
        <w:tc>
          <w:tcPr>
            <w:tcW w:w="4950" w:type="dxa"/>
          </w:tcPr>
          <w:p w14:paraId="1B10E614" w14:textId="77777777" w:rsidR="007A7B2B" w:rsidRPr="007A7B2B" w:rsidRDefault="007A7B2B" w:rsidP="007A7B2B">
            <w:pPr>
              <w:keepNext/>
              <w:keepLines/>
              <w:ind w:firstLine="0"/>
              <w:rPr>
                <w:rFonts w:eastAsia="Times New Roman"/>
              </w:rPr>
            </w:pPr>
            <w:r w:rsidRPr="007A7B2B">
              <w:rPr>
                <w:rFonts w:eastAsia="Times New Roman"/>
                <w:i/>
              </w:rPr>
              <w:t>Kent v. State</w:t>
            </w:r>
            <w:r w:rsidRPr="007A7B2B">
              <w:rPr>
                <w:rFonts w:eastAsia="Times New Roman"/>
              </w:rPr>
              <w:t xml:space="preserve">, 245 Ga. App. 531 (2000); </w:t>
            </w:r>
            <w:r w:rsidRPr="007A7B2B">
              <w:rPr>
                <w:rFonts w:eastAsia="Times New Roman"/>
                <w:i/>
              </w:rPr>
              <w:t>Clark v. State</w:t>
            </w:r>
            <w:r w:rsidRPr="007A7B2B">
              <w:rPr>
                <w:rFonts w:eastAsia="Times New Roman"/>
              </w:rPr>
              <w:t>, 284 Ga. 354, 353-355 (2008)</w:t>
            </w:r>
          </w:p>
        </w:tc>
      </w:tr>
      <w:tr w:rsidR="007A7B2B" w:rsidRPr="007A7B2B" w14:paraId="084BA780" w14:textId="77777777" w:rsidTr="0059785C">
        <w:tc>
          <w:tcPr>
            <w:tcW w:w="4495" w:type="dxa"/>
          </w:tcPr>
          <w:p w14:paraId="18D16565" w14:textId="77777777" w:rsidR="007A7B2B" w:rsidRPr="007A7B2B" w:rsidRDefault="007A7B2B" w:rsidP="007A7B2B">
            <w:pPr>
              <w:keepNext/>
              <w:keepLines/>
              <w:ind w:firstLine="0"/>
              <w:rPr>
                <w:rFonts w:eastAsia="Times New Roman"/>
              </w:rPr>
            </w:pPr>
            <w:r w:rsidRPr="007A7B2B">
              <w:rPr>
                <w:rFonts w:eastAsia="Times New Roman"/>
              </w:rPr>
              <w:t>Report of polygraph examiner that simply reiterates his sworn testimony</w:t>
            </w:r>
          </w:p>
        </w:tc>
        <w:tc>
          <w:tcPr>
            <w:tcW w:w="4950" w:type="dxa"/>
          </w:tcPr>
          <w:p w14:paraId="342B9DA6" w14:textId="77777777" w:rsidR="007A7B2B" w:rsidRPr="007A7B2B" w:rsidRDefault="007A7B2B" w:rsidP="007A7B2B">
            <w:pPr>
              <w:keepNext/>
              <w:keepLines/>
              <w:ind w:firstLine="0"/>
              <w:rPr>
                <w:rFonts w:eastAsia="Times New Roman"/>
              </w:rPr>
            </w:pPr>
            <w:r w:rsidRPr="007A7B2B">
              <w:rPr>
                <w:rFonts w:eastAsia="Times New Roman"/>
                <w:i/>
              </w:rPr>
              <w:t>Harris v. State</w:t>
            </w:r>
            <w:r w:rsidRPr="007A7B2B">
              <w:rPr>
                <w:rFonts w:eastAsia="Times New Roman"/>
              </w:rPr>
              <w:t>, 168 Ga. App. 458, 460-461 (1983)</w:t>
            </w:r>
          </w:p>
        </w:tc>
      </w:tr>
      <w:tr w:rsidR="007A7B2B" w:rsidRPr="007A7B2B" w14:paraId="029C5882" w14:textId="77777777" w:rsidTr="0059785C">
        <w:tc>
          <w:tcPr>
            <w:tcW w:w="4495" w:type="dxa"/>
          </w:tcPr>
          <w:p w14:paraId="596583D5" w14:textId="77777777" w:rsidR="007A7B2B" w:rsidRPr="007A7B2B" w:rsidRDefault="007A7B2B" w:rsidP="007A7B2B">
            <w:pPr>
              <w:keepNext/>
              <w:keepLines/>
              <w:ind w:firstLine="0"/>
              <w:rPr>
                <w:rFonts w:eastAsia="Times New Roman"/>
              </w:rPr>
            </w:pPr>
            <w:r w:rsidRPr="007A7B2B">
              <w:rPr>
                <w:rFonts w:eastAsia="Times New Roman"/>
              </w:rPr>
              <w:t>Written prior consistent or inconsistent statements</w:t>
            </w:r>
          </w:p>
        </w:tc>
        <w:tc>
          <w:tcPr>
            <w:tcW w:w="4950" w:type="dxa"/>
          </w:tcPr>
          <w:p w14:paraId="267F7446" w14:textId="77777777" w:rsidR="007A7B2B" w:rsidRPr="007A7B2B" w:rsidRDefault="007A7B2B" w:rsidP="007A7B2B">
            <w:pPr>
              <w:keepNext/>
              <w:keepLines/>
              <w:ind w:firstLine="0"/>
              <w:rPr>
                <w:rFonts w:eastAsia="Times New Roman"/>
              </w:rPr>
            </w:pPr>
            <w:r w:rsidRPr="007A7B2B">
              <w:rPr>
                <w:rFonts w:eastAsia="Times New Roman"/>
                <w:i/>
              </w:rPr>
              <w:t>Buchanan v. State</w:t>
            </w:r>
            <w:r w:rsidRPr="007A7B2B">
              <w:rPr>
                <w:rFonts w:eastAsia="Times New Roman"/>
              </w:rPr>
              <w:t xml:space="preserve">, 282 Ga. App. 298, 300-301 (2006); </w:t>
            </w:r>
            <w:r w:rsidRPr="007A7B2B">
              <w:rPr>
                <w:rFonts w:eastAsia="Times New Roman"/>
                <w:i/>
              </w:rPr>
              <w:t>Broadnax-Woodland v. State</w:t>
            </w:r>
            <w:r w:rsidRPr="007A7B2B">
              <w:rPr>
                <w:rFonts w:eastAsia="Times New Roman"/>
              </w:rPr>
              <w:t xml:space="preserve">, 265 Ga. App. 669, 670 (2004); </w:t>
            </w:r>
            <w:r w:rsidRPr="007A7B2B">
              <w:rPr>
                <w:rFonts w:eastAsia="Times New Roman"/>
                <w:i/>
              </w:rPr>
              <w:t>Gough v. State</w:t>
            </w:r>
            <w:r w:rsidRPr="007A7B2B">
              <w:rPr>
                <w:rFonts w:eastAsia="Times New Roman"/>
              </w:rPr>
              <w:t>, 236 Ga. App. 669 (2004)</w:t>
            </w:r>
          </w:p>
        </w:tc>
      </w:tr>
      <w:tr w:rsidR="007A7B2B" w:rsidRPr="007A7B2B" w14:paraId="7F1744DD" w14:textId="77777777" w:rsidTr="0059785C">
        <w:tc>
          <w:tcPr>
            <w:tcW w:w="4495" w:type="dxa"/>
          </w:tcPr>
          <w:p w14:paraId="42FC13BF" w14:textId="77777777" w:rsidR="007A7B2B" w:rsidRPr="007A7B2B" w:rsidRDefault="007A7B2B" w:rsidP="007A7B2B">
            <w:pPr>
              <w:keepNext/>
              <w:keepLines/>
              <w:ind w:firstLine="0"/>
              <w:rPr>
                <w:rFonts w:eastAsia="Times New Roman"/>
              </w:rPr>
            </w:pPr>
            <w:r w:rsidRPr="007A7B2B">
              <w:rPr>
                <w:rFonts w:eastAsia="Times New Roman"/>
              </w:rPr>
              <w:t>Past recollection recorded</w:t>
            </w:r>
          </w:p>
        </w:tc>
        <w:tc>
          <w:tcPr>
            <w:tcW w:w="4950" w:type="dxa"/>
          </w:tcPr>
          <w:p w14:paraId="5B8E59C8" w14:textId="77777777" w:rsidR="007A7B2B" w:rsidRPr="007A7B2B" w:rsidRDefault="007A7B2B" w:rsidP="007A7B2B">
            <w:pPr>
              <w:keepNext/>
              <w:keepLines/>
              <w:ind w:firstLine="0"/>
              <w:rPr>
                <w:rFonts w:eastAsia="Times New Roman"/>
              </w:rPr>
            </w:pPr>
            <w:r w:rsidRPr="007A7B2B">
              <w:rPr>
                <w:rFonts w:eastAsia="Times New Roman"/>
                <w:i/>
              </w:rPr>
              <w:t>Platt v. National General Ins. Co.</w:t>
            </w:r>
            <w:r w:rsidRPr="007A7B2B">
              <w:rPr>
                <w:rFonts w:eastAsia="Times New Roman"/>
              </w:rPr>
              <w:t>, 205 Ga. App. 705 (1992)</w:t>
            </w:r>
          </w:p>
        </w:tc>
      </w:tr>
    </w:tbl>
    <w:p w14:paraId="549F3304" w14:textId="77777777" w:rsidR="007A7B2B" w:rsidRDefault="007A7B2B" w:rsidP="007A7B2B">
      <w:pPr>
        <w:spacing w:before="120" w:after="240" w:line="480" w:lineRule="auto"/>
        <w:ind w:right="720"/>
        <w:rPr>
          <w:rFonts w:eastAsia="Arial"/>
          <w:bCs/>
          <w:color w:val="auto"/>
          <w:kern w:val="0"/>
          <w:sz w:val="28"/>
          <w:szCs w:val="28"/>
          <w14:ligatures w14:val="none"/>
        </w:rPr>
      </w:pPr>
    </w:p>
    <w:p w14:paraId="5874C058" w14:textId="77777777" w:rsidR="00224A03" w:rsidRDefault="00224A03" w:rsidP="007A7B2B">
      <w:pPr>
        <w:spacing w:before="120" w:after="240" w:line="480" w:lineRule="auto"/>
        <w:ind w:right="720"/>
        <w:rPr>
          <w:rFonts w:eastAsia="Arial"/>
          <w:bCs/>
          <w:color w:val="auto"/>
          <w:kern w:val="0"/>
          <w:sz w:val="28"/>
          <w:szCs w:val="28"/>
          <w14:ligatures w14:val="none"/>
        </w:rPr>
      </w:pPr>
    </w:p>
    <w:p w14:paraId="386D8AF2" w14:textId="42DC4CC2" w:rsidR="00224A03" w:rsidRDefault="00224A03">
      <w:pPr>
        <w:rPr>
          <w:rFonts w:eastAsia="Arial"/>
          <w:bCs/>
          <w:color w:val="auto"/>
          <w:kern w:val="0"/>
          <w:sz w:val="28"/>
          <w:szCs w:val="28"/>
          <w14:ligatures w14:val="none"/>
        </w:rPr>
      </w:pPr>
      <w:r>
        <w:rPr>
          <w:rFonts w:eastAsia="Arial"/>
          <w:bCs/>
          <w:color w:val="auto"/>
          <w:kern w:val="0"/>
          <w:sz w:val="28"/>
          <w:szCs w:val="28"/>
          <w14:ligatures w14:val="none"/>
        </w:rPr>
        <w:br w:type="page"/>
      </w:r>
      <w:bookmarkEnd w:id="1"/>
    </w:p>
    <w:sectPr w:rsidR="00224A03" w:rsidSect="00555CD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30B3" w14:textId="77777777" w:rsidR="009B6861" w:rsidRDefault="009B6861" w:rsidP="00A52F35">
      <w:r>
        <w:separator/>
      </w:r>
    </w:p>
  </w:endnote>
  <w:endnote w:type="continuationSeparator" w:id="0">
    <w:p w14:paraId="37AF87B2" w14:textId="77777777" w:rsidR="009B6861" w:rsidRDefault="009B6861" w:rsidP="00A52F35">
      <w:r>
        <w:continuationSeparator/>
      </w:r>
    </w:p>
  </w:endnote>
  <w:endnote w:id="1">
    <w:p w14:paraId="00E097E6" w14:textId="58F931CF" w:rsidR="00C87635" w:rsidRDefault="00C87635">
      <w:pPr>
        <w:pStyle w:val="EndnoteText"/>
      </w:pPr>
      <w:r>
        <w:rPr>
          <w:rStyle w:val="EndnoteReference"/>
        </w:rPr>
        <w:endnoteRef/>
      </w:r>
      <w:r>
        <w:t xml:space="preserve"> </w:t>
      </w:r>
      <w:r w:rsidRPr="00E97C38">
        <w:rPr>
          <w:rFonts w:eastAsia="Times New Roman"/>
          <w:i/>
        </w:rPr>
        <w:t>Shedden v. Stiles</w:t>
      </w:r>
      <w:r w:rsidRPr="00E97C38">
        <w:rPr>
          <w:rFonts w:eastAsia="Times New Roman"/>
        </w:rPr>
        <w:t>, 121 Ga. 637 (1905)</w:t>
      </w:r>
      <w:r>
        <w:rPr>
          <w:rFonts w:eastAsia="Times New Roman"/>
        </w:rPr>
        <w:t>.</w:t>
      </w:r>
    </w:p>
  </w:endnote>
  <w:endnote w:id="2">
    <w:p w14:paraId="6D7836EE" w14:textId="443EA763" w:rsidR="00636405" w:rsidRPr="00636405" w:rsidRDefault="00636405">
      <w:pPr>
        <w:pStyle w:val="EndnoteText"/>
      </w:pPr>
      <w:r>
        <w:rPr>
          <w:rStyle w:val="EndnoteReference"/>
        </w:rPr>
        <w:endnoteRef/>
      </w:r>
      <w:r>
        <w:t xml:space="preserve"> </w:t>
      </w:r>
      <w:r>
        <w:rPr>
          <w:i/>
          <w:iCs/>
        </w:rPr>
        <w:t>Rijal v. State</w:t>
      </w:r>
      <w:r>
        <w:t xml:space="preserve">, 367 Ga.App. 703, </w:t>
      </w:r>
      <w:r w:rsidR="008A228F">
        <w:t>714 (2023).</w:t>
      </w:r>
    </w:p>
  </w:endnote>
  <w:endnote w:id="3">
    <w:p w14:paraId="414D3EF8" w14:textId="058D04E8" w:rsidR="008E0F92" w:rsidRPr="008E0F92" w:rsidRDefault="008E0F92">
      <w:pPr>
        <w:pStyle w:val="EndnoteText"/>
      </w:pPr>
      <w:r>
        <w:rPr>
          <w:rStyle w:val="EndnoteReference"/>
        </w:rPr>
        <w:endnoteRef/>
      </w:r>
      <w:r>
        <w:t xml:space="preserve"> </w:t>
      </w:r>
      <w:r w:rsidRPr="008E0F92">
        <w:rPr>
          <w:i/>
        </w:rPr>
        <w:t>Bollinger v. State</w:t>
      </w:r>
      <w:r w:rsidRPr="008E0F92">
        <w:t xml:space="preserve">, 272 Ga. App. 688, 692 (2005); </w:t>
      </w:r>
      <w:r w:rsidRPr="008E0F92">
        <w:rPr>
          <w:i/>
        </w:rPr>
        <w:t>Vinyard v. State</w:t>
      </w:r>
      <w:r w:rsidRPr="008E0F92">
        <w:t xml:space="preserve">, 177 Ga. App. 188, 190 (1985); </w:t>
      </w:r>
      <w:r w:rsidRPr="008E0F92">
        <w:rPr>
          <w:i/>
        </w:rPr>
        <w:t>Johnson v. State</w:t>
      </w:r>
      <w:r w:rsidRPr="008E0F92">
        <w:t>, 234 Ga. App. 58, 60 (1998)</w:t>
      </w:r>
      <w:r>
        <w:t xml:space="preserve">.  But see recent case of </w:t>
      </w:r>
      <w:r>
        <w:rPr>
          <w:i/>
          <w:iCs/>
        </w:rPr>
        <w:t>Hong v. State</w:t>
      </w:r>
      <w:r>
        <w:t>, 366 Ga.App. 476, 482-483 (2023) where a photo of the TPO application filed by the victim was allowed to go out with the jury – held to be error that was not reversible error.</w:t>
      </w:r>
    </w:p>
  </w:endnote>
  <w:endnote w:id="4">
    <w:p w14:paraId="1437CD0B" w14:textId="21206969" w:rsidR="0008374E" w:rsidRPr="00264085" w:rsidRDefault="0008374E">
      <w:pPr>
        <w:pStyle w:val="EndnoteText"/>
      </w:pPr>
      <w:r>
        <w:rPr>
          <w:rStyle w:val="EndnoteReference"/>
        </w:rPr>
        <w:endnoteRef/>
      </w:r>
      <w:r>
        <w:t xml:space="preserve"> </w:t>
      </w:r>
      <w:r>
        <w:rPr>
          <w:i/>
          <w:iCs/>
        </w:rPr>
        <w:t>Muse v. State</w:t>
      </w:r>
      <w:r>
        <w:t xml:space="preserve">, 316 Ga. 639, 659-660 (2023); </w:t>
      </w:r>
      <w:r>
        <w:rPr>
          <w:i/>
          <w:iCs/>
        </w:rPr>
        <w:t>Matthews v. State</w:t>
      </w:r>
      <w:r>
        <w:t xml:space="preserve">, 258 Ga.App. 29 (2002); </w:t>
      </w:r>
      <w:proofErr w:type="spellStart"/>
      <w:r w:rsidR="00264085">
        <w:rPr>
          <w:i/>
          <w:iCs/>
        </w:rPr>
        <w:t>Windhom</w:t>
      </w:r>
      <w:proofErr w:type="spellEnd"/>
      <w:r w:rsidR="00264085">
        <w:rPr>
          <w:i/>
          <w:iCs/>
        </w:rPr>
        <w:t xml:space="preserve"> v. State</w:t>
      </w:r>
      <w:r w:rsidR="00264085">
        <w:t>, 326 Ga.App. 212, 214-215 (2014).</w:t>
      </w:r>
    </w:p>
  </w:endnote>
  <w:endnote w:id="5">
    <w:p w14:paraId="6D8452B7" w14:textId="2BC1BE75" w:rsidR="0072193B" w:rsidRPr="0072193B" w:rsidRDefault="0072193B">
      <w:pPr>
        <w:pStyle w:val="EndnoteText"/>
      </w:pPr>
      <w:r>
        <w:rPr>
          <w:rStyle w:val="EndnoteReference"/>
        </w:rPr>
        <w:endnoteRef/>
      </w:r>
      <w:r>
        <w:t xml:space="preserve"> </w:t>
      </w:r>
      <w:r>
        <w:rPr>
          <w:i/>
          <w:iCs/>
        </w:rPr>
        <w:t>Muse</w:t>
      </w:r>
      <w:r>
        <w:t>, at 659-660.</w:t>
      </w:r>
    </w:p>
  </w:endnote>
  <w:endnote w:id="6">
    <w:p w14:paraId="162247C5" w14:textId="77777777" w:rsidR="00224A03" w:rsidRDefault="00224A03" w:rsidP="00224A03">
      <w:pPr>
        <w:pStyle w:val="EndnoteText"/>
      </w:pPr>
      <w:r>
        <w:rPr>
          <w:rStyle w:val="EndnoteReference"/>
        </w:rPr>
        <w:endnoteRef/>
      </w:r>
      <w:r>
        <w:t xml:space="preserve"> Prior convictions (particularly any convictions of the defendant) should be redacted to remove sentencing information relating to the length of the sentence or other matters that go beyond the fact that the crime was a felony and the witness/defendant was convicted of that offense.</w:t>
      </w:r>
    </w:p>
  </w:endnote>
  <w:endnote w:id="7">
    <w:p w14:paraId="38E797FF" w14:textId="77777777" w:rsidR="007A7B2B" w:rsidRDefault="007A7B2B" w:rsidP="007A7B2B">
      <w:pPr>
        <w:pStyle w:val="EndnoteText"/>
      </w:pPr>
      <w:r>
        <w:rPr>
          <w:rStyle w:val="EndnoteReference"/>
        </w:rPr>
        <w:endnoteRef/>
      </w:r>
      <w:r>
        <w:t xml:space="preserve"> Prior convictions (particularly any convictions of the defendant) should be redacted to remove sentencing information relating to the length of the sentence or other matters that go beyond the fact that the crime was a felony and the witness/defendant was convicted of that offense.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8281" w14:textId="77777777" w:rsidR="00A526B9" w:rsidRDefault="00A52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3CA" w14:textId="77777777" w:rsidR="00064D0B" w:rsidRDefault="00064D0B" w:rsidP="00C527D7">
    <w:pPr>
      <w:pStyle w:val="Footer"/>
      <w:tabs>
        <w:tab w:val="clear" w:pos="4680"/>
        <w:tab w:val="clear" w:pos="9360"/>
      </w:tabs>
      <w:jc w:val="center"/>
      <w:rPr>
        <w:b/>
        <w:bCs/>
        <w:sz w:val="20"/>
        <w:szCs w:val="20"/>
      </w:rPr>
    </w:pPr>
  </w:p>
  <w:p w14:paraId="4B16A50F" w14:textId="7C3C4648" w:rsidR="00000000" w:rsidRDefault="00A526B9" w:rsidP="00C527D7">
    <w:pPr>
      <w:pStyle w:val="Footer"/>
      <w:tabs>
        <w:tab w:val="clear" w:pos="4680"/>
        <w:tab w:val="clear" w:pos="9360"/>
      </w:tabs>
      <w:jc w:val="center"/>
      <w:rPr>
        <w:b/>
        <w:bCs/>
        <w:sz w:val="20"/>
        <w:szCs w:val="20"/>
      </w:rPr>
    </w:pPr>
    <w:r>
      <w:rPr>
        <w:b/>
        <w:bCs/>
        <w:sz w:val="20"/>
        <w:szCs w:val="20"/>
      </w:rPr>
      <w:t>THE CONTINUING WITNESS RULE</w:t>
    </w:r>
    <w:r w:rsidR="00831FEF" w:rsidRPr="00D47131">
      <w:rPr>
        <w:b/>
        <w:bCs/>
        <w:sz w:val="20"/>
        <w:szCs w:val="20"/>
      </w:rPr>
      <w:t xml:space="preserve"> </w:t>
    </w:r>
    <w:r w:rsidR="00831FEF">
      <w:rPr>
        <w:b/>
        <w:bCs/>
        <w:sz w:val="20"/>
        <w:szCs w:val="20"/>
      </w:rPr>
      <w:t>- EPISODE NOTES</w:t>
    </w:r>
    <w:r w:rsidR="004D4931">
      <w:rPr>
        <w:b/>
        <w:bCs/>
        <w:sz w:val="20"/>
        <w:szCs w:val="20"/>
      </w:rPr>
      <w:t xml:space="preserve"> </w:t>
    </w:r>
  </w:p>
  <w:p w14:paraId="3EC713CE" w14:textId="71282334" w:rsidR="00000000" w:rsidRPr="00DB0007" w:rsidRDefault="000B158F" w:rsidP="00C527D7">
    <w:pPr>
      <w:pStyle w:val="Footer"/>
      <w:tabs>
        <w:tab w:val="clear" w:pos="4680"/>
        <w:tab w:val="clear" w:pos="9360"/>
      </w:tabs>
      <w:jc w:val="center"/>
      <w:rPr>
        <w:b/>
        <w:bCs/>
        <w:sz w:val="20"/>
        <w:szCs w:val="20"/>
      </w:rPr>
    </w:pPr>
    <w:r>
      <w:rPr>
        <w:b/>
        <w:bCs/>
        <w:sz w:val="20"/>
        <w:szCs w:val="20"/>
      </w:rPr>
      <w:t>RECORDED 10/12</w:t>
    </w:r>
    <w:r w:rsidR="00274D1E">
      <w:rPr>
        <w:b/>
        <w:bCs/>
        <w:sz w:val="20"/>
        <w:szCs w:val="20"/>
      </w:rPr>
      <w:t>/2023</w:t>
    </w:r>
  </w:p>
  <w:p w14:paraId="764F9A21" w14:textId="60F76B3B" w:rsidR="00000000" w:rsidRDefault="00274D1E"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FB3481">
      <w:rPr>
        <w:b/>
        <w:bCs/>
        <w:noProof/>
        <w:sz w:val="20"/>
        <w:szCs w:val="20"/>
      </w:rPr>
      <w:t>13</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FB3481">
      <w:rPr>
        <w:b/>
        <w:bCs/>
        <w:noProof/>
        <w:sz w:val="20"/>
        <w:szCs w:val="20"/>
      </w:rPr>
      <w:t>14</w:t>
    </w:r>
    <w:r w:rsidRPr="00DB0007">
      <w:rPr>
        <w:b/>
        <w:bCs/>
        <w:sz w:val="20"/>
        <w:szCs w:val="20"/>
      </w:rPr>
      <w:fldChar w:fldCharType="end"/>
    </w:r>
  </w:p>
  <w:p w14:paraId="66D8CB16"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01A1" w14:textId="77777777" w:rsidR="00A526B9" w:rsidRDefault="00A52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74A0" w14:textId="77777777" w:rsidR="009B6861" w:rsidRDefault="009B6861" w:rsidP="00A52F35">
      <w:r>
        <w:separator/>
      </w:r>
    </w:p>
  </w:footnote>
  <w:footnote w:type="continuationSeparator" w:id="0">
    <w:p w14:paraId="79B7F5E7" w14:textId="77777777" w:rsidR="009B6861" w:rsidRDefault="009B6861" w:rsidP="00A5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C79C" w14:textId="77777777" w:rsidR="00A526B9" w:rsidRDefault="00A52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7B8F" w14:textId="77777777" w:rsidR="00A526B9" w:rsidRDefault="00A52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4889" w14:textId="77777777" w:rsidR="00A526B9" w:rsidRDefault="00A52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C87"/>
    <w:multiLevelType w:val="hybridMultilevel"/>
    <w:tmpl w:val="408E1B86"/>
    <w:lvl w:ilvl="0" w:tplc="D86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7BC6"/>
    <w:multiLevelType w:val="hybridMultilevel"/>
    <w:tmpl w:val="8040A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2644"/>
    <w:multiLevelType w:val="hybridMultilevel"/>
    <w:tmpl w:val="A6FA7858"/>
    <w:lvl w:ilvl="0" w:tplc="4D004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84038"/>
    <w:multiLevelType w:val="hybridMultilevel"/>
    <w:tmpl w:val="8070B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22289"/>
    <w:multiLevelType w:val="hybridMultilevel"/>
    <w:tmpl w:val="49E66CA2"/>
    <w:lvl w:ilvl="0" w:tplc="A088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F0A31"/>
    <w:multiLevelType w:val="hybridMultilevel"/>
    <w:tmpl w:val="44E44B5C"/>
    <w:lvl w:ilvl="0" w:tplc="A10E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2C4EDC"/>
    <w:multiLevelType w:val="hybridMultilevel"/>
    <w:tmpl w:val="5E7C47FE"/>
    <w:lvl w:ilvl="0" w:tplc="7232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3487C"/>
    <w:multiLevelType w:val="hybridMultilevel"/>
    <w:tmpl w:val="1760055E"/>
    <w:lvl w:ilvl="0" w:tplc="FC9A4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B791A"/>
    <w:multiLevelType w:val="hybridMultilevel"/>
    <w:tmpl w:val="5ECE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368BA"/>
    <w:multiLevelType w:val="hybridMultilevel"/>
    <w:tmpl w:val="E7068CC2"/>
    <w:lvl w:ilvl="0" w:tplc="2D84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868386">
    <w:abstractNumId w:val="6"/>
  </w:num>
  <w:num w:numId="2" w16cid:durableId="1622960393">
    <w:abstractNumId w:val="12"/>
  </w:num>
  <w:num w:numId="3" w16cid:durableId="658315714">
    <w:abstractNumId w:val="0"/>
  </w:num>
  <w:num w:numId="4" w16cid:durableId="1490708132">
    <w:abstractNumId w:val="16"/>
  </w:num>
  <w:num w:numId="5" w16cid:durableId="756440862">
    <w:abstractNumId w:val="7"/>
  </w:num>
  <w:num w:numId="6" w16cid:durableId="1451777704">
    <w:abstractNumId w:val="5"/>
  </w:num>
  <w:num w:numId="7" w16cid:durableId="61412753">
    <w:abstractNumId w:val="2"/>
  </w:num>
  <w:num w:numId="8" w16cid:durableId="1077363739">
    <w:abstractNumId w:val="1"/>
  </w:num>
  <w:num w:numId="9" w16cid:durableId="1200972304">
    <w:abstractNumId w:val="4"/>
  </w:num>
  <w:num w:numId="10" w16cid:durableId="1353727842">
    <w:abstractNumId w:val="15"/>
  </w:num>
  <w:num w:numId="11" w16cid:durableId="1418477364">
    <w:abstractNumId w:val="10"/>
  </w:num>
  <w:num w:numId="12" w16cid:durableId="141586923">
    <w:abstractNumId w:val="11"/>
  </w:num>
  <w:num w:numId="13" w16cid:durableId="1218276897">
    <w:abstractNumId w:val="8"/>
  </w:num>
  <w:num w:numId="14" w16cid:durableId="568269976">
    <w:abstractNumId w:val="3"/>
  </w:num>
  <w:num w:numId="15" w16cid:durableId="268052145">
    <w:abstractNumId w:val="9"/>
  </w:num>
  <w:num w:numId="16" w16cid:durableId="1765763077">
    <w:abstractNumId w:val="14"/>
  </w:num>
  <w:num w:numId="17" w16cid:durableId="1058479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31"/>
    <w:rsid w:val="0003237A"/>
    <w:rsid w:val="00037707"/>
    <w:rsid w:val="00056659"/>
    <w:rsid w:val="00064D0B"/>
    <w:rsid w:val="0008374E"/>
    <w:rsid w:val="000A1DDE"/>
    <w:rsid w:val="000A6451"/>
    <w:rsid w:val="000B158F"/>
    <w:rsid w:val="000B3423"/>
    <w:rsid w:val="000B6B05"/>
    <w:rsid w:val="000D63FE"/>
    <w:rsid w:val="000F2531"/>
    <w:rsid w:val="000F74EE"/>
    <w:rsid w:val="0010409A"/>
    <w:rsid w:val="00104359"/>
    <w:rsid w:val="0010455C"/>
    <w:rsid w:val="001052C2"/>
    <w:rsid w:val="001054CD"/>
    <w:rsid w:val="001523D8"/>
    <w:rsid w:val="00170D82"/>
    <w:rsid w:val="00177945"/>
    <w:rsid w:val="00180A05"/>
    <w:rsid w:val="001A442C"/>
    <w:rsid w:val="001B123F"/>
    <w:rsid w:val="001C36B8"/>
    <w:rsid w:val="001E223E"/>
    <w:rsid w:val="001F08A8"/>
    <w:rsid w:val="001F1400"/>
    <w:rsid w:val="00216441"/>
    <w:rsid w:val="00220838"/>
    <w:rsid w:val="00224A03"/>
    <w:rsid w:val="002358D9"/>
    <w:rsid w:val="002406B5"/>
    <w:rsid w:val="0024265A"/>
    <w:rsid w:val="00264085"/>
    <w:rsid w:val="00265AE4"/>
    <w:rsid w:val="002708B0"/>
    <w:rsid w:val="00274D1E"/>
    <w:rsid w:val="002764A9"/>
    <w:rsid w:val="00276C1B"/>
    <w:rsid w:val="00281A13"/>
    <w:rsid w:val="00292514"/>
    <w:rsid w:val="002C3EBC"/>
    <w:rsid w:val="002D73D0"/>
    <w:rsid w:val="002E0E05"/>
    <w:rsid w:val="002E2B0D"/>
    <w:rsid w:val="002F3A9B"/>
    <w:rsid w:val="00310B19"/>
    <w:rsid w:val="00324543"/>
    <w:rsid w:val="00326B9C"/>
    <w:rsid w:val="00353401"/>
    <w:rsid w:val="00376D12"/>
    <w:rsid w:val="00377C23"/>
    <w:rsid w:val="003807F3"/>
    <w:rsid w:val="003820C0"/>
    <w:rsid w:val="003A43D9"/>
    <w:rsid w:val="003B17E0"/>
    <w:rsid w:val="003D0441"/>
    <w:rsid w:val="003D0A1C"/>
    <w:rsid w:val="003E6485"/>
    <w:rsid w:val="00410F25"/>
    <w:rsid w:val="00425248"/>
    <w:rsid w:val="00427232"/>
    <w:rsid w:val="00447CA1"/>
    <w:rsid w:val="0045044F"/>
    <w:rsid w:val="004803DD"/>
    <w:rsid w:val="004869C1"/>
    <w:rsid w:val="004924FB"/>
    <w:rsid w:val="004D0BDC"/>
    <w:rsid w:val="004D4931"/>
    <w:rsid w:val="004D6CF7"/>
    <w:rsid w:val="004F0756"/>
    <w:rsid w:val="0052076D"/>
    <w:rsid w:val="0052530D"/>
    <w:rsid w:val="005273E6"/>
    <w:rsid w:val="005329E3"/>
    <w:rsid w:val="00541E63"/>
    <w:rsid w:val="0054544B"/>
    <w:rsid w:val="00554A8B"/>
    <w:rsid w:val="00562A35"/>
    <w:rsid w:val="005670B8"/>
    <w:rsid w:val="005725FA"/>
    <w:rsid w:val="00573E68"/>
    <w:rsid w:val="00592F0B"/>
    <w:rsid w:val="00596FF9"/>
    <w:rsid w:val="005A0657"/>
    <w:rsid w:val="005A69B7"/>
    <w:rsid w:val="005C3800"/>
    <w:rsid w:val="005D20DD"/>
    <w:rsid w:val="005D4D9F"/>
    <w:rsid w:val="005D7F62"/>
    <w:rsid w:val="005F1628"/>
    <w:rsid w:val="0060514B"/>
    <w:rsid w:val="0061670A"/>
    <w:rsid w:val="00627C6B"/>
    <w:rsid w:val="00633CCD"/>
    <w:rsid w:val="00636405"/>
    <w:rsid w:val="00636F98"/>
    <w:rsid w:val="00685BE4"/>
    <w:rsid w:val="006B3477"/>
    <w:rsid w:val="006B6507"/>
    <w:rsid w:val="006C5503"/>
    <w:rsid w:val="006D0F96"/>
    <w:rsid w:val="006D68E0"/>
    <w:rsid w:val="006E5153"/>
    <w:rsid w:val="0072193B"/>
    <w:rsid w:val="007259FE"/>
    <w:rsid w:val="007359EE"/>
    <w:rsid w:val="00752541"/>
    <w:rsid w:val="00756130"/>
    <w:rsid w:val="007624DE"/>
    <w:rsid w:val="00763690"/>
    <w:rsid w:val="00773B54"/>
    <w:rsid w:val="00776F4B"/>
    <w:rsid w:val="00777C65"/>
    <w:rsid w:val="007835FF"/>
    <w:rsid w:val="0079655E"/>
    <w:rsid w:val="007969F6"/>
    <w:rsid w:val="007A7B2B"/>
    <w:rsid w:val="007B06BD"/>
    <w:rsid w:val="007B0CF3"/>
    <w:rsid w:val="007B786F"/>
    <w:rsid w:val="007C078D"/>
    <w:rsid w:val="007C3BA0"/>
    <w:rsid w:val="007D720F"/>
    <w:rsid w:val="007E03AF"/>
    <w:rsid w:val="007E60C0"/>
    <w:rsid w:val="007F161E"/>
    <w:rsid w:val="00801AB0"/>
    <w:rsid w:val="008138CD"/>
    <w:rsid w:val="00823457"/>
    <w:rsid w:val="00831FEF"/>
    <w:rsid w:val="008344B8"/>
    <w:rsid w:val="008602E1"/>
    <w:rsid w:val="00861E53"/>
    <w:rsid w:val="00871F93"/>
    <w:rsid w:val="00887092"/>
    <w:rsid w:val="00892CB8"/>
    <w:rsid w:val="008A228F"/>
    <w:rsid w:val="008A7F0D"/>
    <w:rsid w:val="008C3758"/>
    <w:rsid w:val="008D58A4"/>
    <w:rsid w:val="008E0F92"/>
    <w:rsid w:val="008F22C8"/>
    <w:rsid w:val="008F668A"/>
    <w:rsid w:val="00905B57"/>
    <w:rsid w:val="00916422"/>
    <w:rsid w:val="009218E4"/>
    <w:rsid w:val="00924ABD"/>
    <w:rsid w:val="00932F2C"/>
    <w:rsid w:val="00951BDC"/>
    <w:rsid w:val="009839C3"/>
    <w:rsid w:val="0098464C"/>
    <w:rsid w:val="009A31B9"/>
    <w:rsid w:val="009A68F9"/>
    <w:rsid w:val="009B6861"/>
    <w:rsid w:val="009E786C"/>
    <w:rsid w:val="00A07E1A"/>
    <w:rsid w:val="00A11B17"/>
    <w:rsid w:val="00A11F70"/>
    <w:rsid w:val="00A25DDB"/>
    <w:rsid w:val="00A27AD2"/>
    <w:rsid w:val="00A3766F"/>
    <w:rsid w:val="00A41B27"/>
    <w:rsid w:val="00A443C0"/>
    <w:rsid w:val="00A526B9"/>
    <w:rsid w:val="00A52D92"/>
    <w:rsid w:val="00A52F35"/>
    <w:rsid w:val="00A63DA8"/>
    <w:rsid w:val="00A65A34"/>
    <w:rsid w:val="00A66213"/>
    <w:rsid w:val="00A87877"/>
    <w:rsid w:val="00AB0F85"/>
    <w:rsid w:val="00AD6B8F"/>
    <w:rsid w:val="00AE7147"/>
    <w:rsid w:val="00AF002B"/>
    <w:rsid w:val="00AF0975"/>
    <w:rsid w:val="00B146E1"/>
    <w:rsid w:val="00B17AAF"/>
    <w:rsid w:val="00B3052C"/>
    <w:rsid w:val="00B355CB"/>
    <w:rsid w:val="00B65853"/>
    <w:rsid w:val="00B7006F"/>
    <w:rsid w:val="00B81678"/>
    <w:rsid w:val="00BB4ABC"/>
    <w:rsid w:val="00BC0835"/>
    <w:rsid w:val="00BC0F3E"/>
    <w:rsid w:val="00BE35E7"/>
    <w:rsid w:val="00BE425E"/>
    <w:rsid w:val="00BF5C94"/>
    <w:rsid w:val="00C309A1"/>
    <w:rsid w:val="00C356F8"/>
    <w:rsid w:val="00C50CDC"/>
    <w:rsid w:val="00C57358"/>
    <w:rsid w:val="00C71331"/>
    <w:rsid w:val="00C719F6"/>
    <w:rsid w:val="00C77DC5"/>
    <w:rsid w:val="00C80E52"/>
    <w:rsid w:val="00C84D17"/>
    <w:rsid w:val="00C87635"/>
    <w:rsid w:val="00CA08DF"/>
    <w:rsid w:val="00CA5636"/>
    <w:rsid w:val="00CA7A2F"/>
    <w:rsid w:val="00CC4ED3"/>
    <w:rsid w:val="00CD072C"/>
    <w:rsid w:val="00CD0F8A"/>
    <w:rsid w:val="00CD4FB6"/>
    <w:rsid w:val="00CF1BBC"/>
    <w:rsid w:val="00D023EA"/>
    <w:rsid w:val="00D172C2"/>
    <w:rsid w:val="00D52C92"/>
    <w:rsid w:val="00D67C29"/>
    <w:rsid w:val="00D81984"/>
    <w:rsid w:val="00D959C7"/>
    <w:rsid w:val="00DC02E1"/>
    <w:rsid w:val="00DC3080"/>
    <w:rsid w:val="00DC7FAB"/>
    <w:rsid w:val="00E078AF"/>
    <w:rsid w:val="00E20396"/>
    <w:rsid w:val="00E33651"/>
    <w:rsid w:val="00E436B0"/>
    <w:rsid w:val="00E44F01"/>
    <w:rsid w:val="00E809A6"/>
    <w:rsid w:val="00E87EC1"/>
    <w:rsid w:val="00E96B77"/>
    <w:rsid w:val="00EA0BDB"/>
    <w:rsid w:val="00EB12E3"/>
    <w:rsid w:val="00EB26AA"/>
    <w:rsid w:val="00ED08FC"/>
    <w:rsid w:val="00ED1CC6"/>
    <w:rsid w:val="00ED2E8D"/>
    <w:rsid w:val="00EF7771"/>
    <w:rsid w:val="00F13A7D"/>
    <w:rsid w:val="00F274C7"/>
    <w:rsid w:val="00F44F20"/>
    <w:rsid w:val="00F5101A"/>
    <w:rsid w:val="00F62034"/>
    <w:rsid w:val="00F84D17"/>
    <w:rsid w:val="00FA73A3"/>
    <w:rsid w:val="00FB3481"/>
    <w:rsid w:val="00FC7551"/>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ndnote Text 12"/>
    <w:basedOn w:val="Normal"/>
    <w:link w:val="EndnoteTextChar"/>
    <w:unhideWhenUsed/>
    <w:qFormat/>
    <w:rsid w:val="00AE7147"/>
    <w:pPr>
      <w:spacing w:line="276" w:lineRule="auto"/>
      <w:ind w:left="720" w:hanging="720"/>
    </w:pPr>
    <w:rPr>
      <w:szCs w:val="20"/>
    </w:rPr>
  </w:style>
  <w:style w:type="character" w:customStyle="1" w:styleId="EndnoteTextChar">
    <w:name w:val="Endnote Text Char"/>
    <w:aliases w:val="Endnote Text 12 Char"/>
    <w:basedOn w:val="DefaultParagraphFont"/>
    <w:link w:val="EndnoteText"/>
    <w:rsid w:val="00AE7147"/>
    <w:rPr>
      <w:szCs w:val="20"/>
    </w:rPr>
  </w:style>
  <w:style w:type="character" w:styleId="EndnoteReference">
    <w:name w:val="endnote reference"/>
    <w:basedOn w:val="DefaultParagraphFont"/>
    <w:unhideWhenUsed/>
    <w:qFormat/>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customStyle="1" w:styleId="UnresolvedMention2">
    <w:name w:val="Unresolved Mention2"/>
    <w:basedOn w:val="DefaultParagraphFont"/>
    <w:uiPriority w:val="99"/>
    <w:semiHidden/>
    <w:unhideWhenUsed/>
    <w:rsid w:val="00C71331"/>
    <w:rPr>
      <w:color w:val="605E5C"/>
      <w:shd w:val="clear" w:color="auto" w:fill="E1DFDD"/>
    </w:rPr>
  </w:style>
  <w:style w:type="table" w:customStyle="1" w:styleId="TableGrid1">
    <w:name w:val="Table Grid1"/>
    <w:basedOn w:val="TableNormal"/>
    <w:next w:val="TableGrid"/>
    <w:uiPriority w:val="39"/>
    <w:rsid w:val="00EF7771"/>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2">
    <w:name w:val="Table Grid2"/>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3">
    <w:name w:val="Table Grid3"/>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4">
    <w:name w:val="Table Grid4"/>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5">
    <w:name w:val="Table Grid5"/>
    <w:basedOn w:val="TableNormal"/>
    <w:next w:val="TableGrid"/>
    <w:uiPriority w:val="39"/>
    <w:rsid w:val="00224A03"/>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odjudgepo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F89B-728B-45C0-B9E1-59525021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2023-10-06T04:02:00Z</dcterms:created>
  <dcterms:modified xsi:type="dcterms:W3CDTF">2023-10-06T04:02:00Z</dcterms:modified>
</cp:coreProperties>
</file>