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07A0" w14:textId="79E7523E" w:rsidR="00E57DDA" w:rsidRDefault="00E57DDA" w:rsidP="00E57DDA">
      <w:pPr>
        <w:ind w:firstLine="0"/>
        <w:jc w:val="center"/>
        <w:rPr>
          <w:b/>
          <w:sz w:val="28"/>
          <w:szCs w:val="28"/>
          <w:u w:val="single"/>
        </w:rPr>
      </w:pPr>
      <w:r w:rsidRPr="00F53A64">
        <w:rPr>
          <w:b/>
          <w:sz w:val="28"/>
          <w:szCs w:val="28"/>
          <w:u w:val="single"/>
        </w:rPr>
        <w:t xml:space="preserve">BASIC OUTLINE FOR </w:t>
      </w:r>
      <w:r w:rsidR="00EC1EC3">
        <w:rPr>
          <w:b/>
          <w:sz w:val="28"/>
          <w:szCs w:val="28"/>
          <w:u w:val="single"/>
        </w:rPr>
        <w:t>MNT</w:t>
      </w:r>
      <w:r w:rsidR="00A770EE">
        <w:rPr>
          <w:b/>
          <w:sz w:val="28"/>
          <w:szCs w:val="28"/>
          <w:u w:val="single"/>
        </w:rPr>
        <w:t xml:space="preserve"> </w:t>
      </w:r>
      <w:r w:rsidRPr="00F53A64">
        <w:rPr>
          <w:b/>
          <w:sz w:val="28"/>
          <w:szCs w:val="28"/>
          <w:u w:val="single"/>
        </w:rPr>
        <w:t>PODCAST</w:t>
      </w:r>
      <w:r w:rsidR="00C276B9">
        <w:rPr>
          <w:b/>
          <w:sz w:val="28"/>
          <w:szCs w:val="28"/>
          <w:u w:val="single"/>
        </w:rPr>
        <w:t xml:space="preserve"> </w:t>
      </w:r>
    </w:p>
    <w:p w14:paraId="0C7451FA" w14:textId="77777777" w:rsidR="006B6476" w:rsidRPr="00F53A64" w:rsidRDefault="006B6476" w:rsidP="00E57DDA">
      <w:pPr>
        <w:ind w:firstLine="0"/>
        <w:jc w:val="center"/>
        <w:rPr>
          <w:b/>
          <w:sz w:val="28"/>
          <w:szCs w:val="28"/>
          <w:u w:val="single"/>
        </w:rPr>
      </w:pPr>
    </w:p>
    <w:p w14:paraId="75E9C3AE" w14:textId="40BCE8EA" w:rsidR="00C47579" w:rsidRDefault="00E57DDA" w:rsidP="00C47579">
      <w:pPr>
        <w:pStyle w:val="ListParaNoIndent"/>
        <w:numPr>
          <w:ilvl w:val="1"/>
          <w:numId w:val="2"/>
        </w:numPr>
        <w:tabs>
          <w:tab w:val="clear" w:pos="43"/>
          <w:tab w:val="clear" w:pos="432"/>
        </w:tabs>
        <w:spacing w:line="480" w:lineRule="auto"/>
        <w:ind w:left="720"/>
        <w:rPr>
          <w:szCs w:val="28"/>
        </w:rPr>
      </w:pPr>
      <w:r w:rsidRPr="00F53A64">
        <w:rPr>
          <w:szCs w:val="28"/>
        </w:rPr>
        <w:t xml:space="preserve">Hello everyone, welcome </w:t>
      </w:r>
      <w:r w:rsidR="00A87855">
        <w:rPr>
          <w:szCs w:val="28"/>
        </w:rPr>
        <w:t>to another session of</w:t>
      </w:r>
      <w:r w:rsidRPr="00F53A64">
        <w:rPr>
          <w:szCs w:val="28"/>
        </w:rPr>
        <w:t xml:space="preserve"> the Good Judge-</w:t>
      </w:r>
      <w:proofErr w:type="spellStart"/>
      <w:r w:rsidRPr="00F53A64">
        <w:rPr>
          <w:szCs w:val="28"/>
        </w:rPr>
        <w:t>ment</w:t>
      </w:r>
      <w:proofErr w:type="spellEnd"/>
      <w:r w:rsidRPr="00F53A64">
        <w:rPr>
          <w:szCs w:val="28"/>
        </w:rPr>
        <w:t xml:space="preserve"> podcast.  I am Wade Padgett…</w:t>
      </w:r>
    </w:p>
    <w:p w14:paraId="6E5E860C" w14:textId="3295FB9D" w:rsidR="00C276B9" w:rsidRPr="00C47579" w:rsidRDefault="00E57DDA" w:rsidP="00C47579">
      <w:pPr>
        <w:pStyle w:val="ListParaNoIndent"/>
        <w:numPr>
          <w:ilvl w:val="1"/>
          <w:numId w:val="2"/>
        </w:numPr>
        <w:tabs>
          <w:tab w:val="clear" w:pos="43"/>
          <w:tab w:val="clear" w:pos="432"/>
        </w:tabs>
        <w:spacing w:line="480" w:lineRule="auto"/>
        <w:ind w:left="720"/>
        <w:rPr>
          <w:szCs w:val="28"/>
        </w:rPr>
      </w:pPr>
      <w:r w:rsidRPr="00C47579">
        <w:rPr>
          <w:szCs w:val="28"/>
          <w:u w:val="single"/>
        </w:rPr>
        <w:t>and I am Tain Kell and together</w:t>
      </w:r>
      <w:r w:rsidR="006833E1">
        <w:rPr>
          <w:szCs w:val="28"/>
          <w:u w:val="single"/>
        </w:rPr>
        <w:t>,</w:t>
      </w:r>
      <w:r w:rsidRPr="00C47579">
        <w:rPr>
          <w:szCs w:val="28"/>
          <w:u w:val="single"/>
        </w:rPr>
        <w:t xml:space="preserve"> we will be </w:t>
      </w:r>
      <w:r w:rsidR="00C276B9" w:rsidRPr="00C47579">
        <w:rPr>
          <w:szCs w:val="28"/>
          <w:u w:val="single"/>
        </w:rPr>
        <w:t>your hosts</w:t>
      </w:r>
    </w:p>
    <w:p w14:paraId="44B92C35" w14:textId="2113849D" w:rsidR="00C276B9" w:rsidRPr="00906E00" w:rsidRDefault="005D57AF" w:rsidP="006B6476">
      <w:pPr>
        <w:pStyle w:val="ListParaNoIndent"/>
        <w:numPr>
          <w:ilvl w:val="1"/>
          <w:numId w:val="2"/>
        </w:numPr>
        <w:tabs>
          <w:tab w:val="clear" w:pos="43"/>
          <w:tab w:val="clear" w:pos="432"/>
        </w:tabs>
        <w:spacing w:line="480" w:lineRule="auto"/>
        <w:ind w:left="720"/>
        <w:rPr>
          <w:szCs w:val="28"/>
        </w:rPr>
      </w:pPr>
      <w:r>
        <w:rPr>
          <w:szCs w:val="28"/>
        </w:rPr>
        <w:t>Th</w:t>
      </w:r>
      <w:r w:rsidR="00EC1EC3">
        <w:rPr>
          <w:szCs w:val="28"/>
        </w:rPr>
        <w:t>e Good Judge-</w:t>
      </w:r>
      <w:proofErr w:type="spellStart"/>
      <w:r w:rsidR="00EC1EC3">
        <w:rPr>
          <w:szCs w:val="28"/>
        </w:rPr>
        <w:t>Ment</w:t>
      </w:r>
      <w:proofErr w:type="spellEnd"/>
      <w:r>
        <w:rPr>
          <w:szCs w:val="28"/>
        </w:rPr>
        <w:t xml:space="preserve"> podcast is designed for judges, lawyers and others who are interested in</w:t>
      </w:r>
      <w:r w:rsidR="00C47579">
        <w:rPr>
          <w:szCs w:val="28"/>
        </w:rPr>
        <w:t xml:space="preserve"> judges, and </w:t>
      </w:r>
      <w:r>
        <w:rPr>
          <w:szCs w:val="28"/>
        </w:rPr>
        <w:t xml:space="preserve">the law and procedure that occurs in a courtroom.  </w:t>
      </w:r>
      <w:r w:rsidR="006833E1">
        <w:rPr>
          <w:szCs w:val="28"/>
        </w:rPr>
        <w:t xml:space="preserve">Our focus is on Georgia law and Georgia judges.  </w:t>
      </w:r>
      <w:r>
        <w:rPr>
          <w:szCs w:val="28"/>
        </w:rPr>
        <w:t xml:space="preserve">We </w:t>
      </w:r>
      <w:r w:rsidR="00EC1EC3">
        <w:rPr>
          <w:szCs w:val="28"/>
        </w:rPr>
        <w:t>will focus</w:t>
      </w:r>
      <w:r>
        <w:rPr>
          <w:szCs w:val="28"/>
        </w:rPr>
        <w:t xml:space="preserve"> </w:t>
      </w:r>
      <w:r w:rsidR="00EC1EC3">
        <w:rPr>
          <w:szCs w:val="28"/>
        </w:rPr>
        <w:t>on</w:t>
      </w:r>
      <w:r>
        <w:rPr>
          <w:szCs w:val="28"/>
        </w:rPr>
        <w:t xml:space="preserve"> substantive law and procedure.  </w:t>
      </w:r>
      <w:r w:rsidR="00EC1EC3">
        <w:rPr>
          <w:szCs w:val="28"/>
        </w:rPr>
        <w:t xml:space="preserve">Occasionally, we have other topics of interest for judges to consider.  </w:t>
      </w:r>
      <w:r w:rsidR="00C276B9" w:rsidRPr="00906E00">
        <w:rPr>
          <w:szCs w:val="28"/>
        </w:rPr>
        <w:t>For those who have been listening to our podcasts, we want to thank you</w:t>
      </w:r>
      <w:r w:rsidR="00A770EE">
        <w:rPr>
          <w:szCs w:val="28"/>
        </w:rPr>
        <w:t>.</w:t>
      </w:r>
      <w:r w:rsidR="00C276B9" w:rsidRPr="00906E00">
        <w:rPr>
          <w:szCs w:val="28"/>
        </w:rPr>
        <w:t xml:space="preserve"> </w:t>
      </w:r>
    </w:p>
    <w:p w14:paraId="6ECD7C16" w14:textId="59D015DA" w:rsidR="00C276B9" w:rsidRPr="00906E00" w:rsidRDefault="00A770EE" w:rsidP="006B6476">
      <w:pPr>
        <w:pStyle w:val="ListParaNoIndent"/>
        <w:numPr>
          <w:ilvl w:val="1"/>
          <w:numId w:val="2"/>
        </w:numPr>
        <w:tabs>
          <w:tab w:val="clear" w:pos="43"/>
          <w:tab w:val="clear" w:pos="432"/>
        </w:tabs>
        <w:spacing w:line="480" w:lineRule="auto"/>
        <w:ind w:left="720"/>
        <w:rPr>
          <w:szCs w:val="28"/>
        </w:rPr>
      </w:pPr>
      <w:r>
        <w:rPr>
          <w:szCs w:val="28"/>
          <w:u w:val="single"/>
        </w:rPr>
        <w:t xml:space="preserve">Today’s podcast deals with </w:t>
      </w:r>
      <w:r w:rsidR="00EC1EC3">
        <w:rPr>
          <w:szCs w:val="28"/>
          <w:u w:val="single"/>
        </w:rPr>
        <w:t>Motions for New Trial</w:t>
      </w:r>
      <w:r w:rsidR="00F42A78">
        <w:rPr>
          <w:szCs w:val="28"/>
          <w:u w:val="single"/>
        </w:rPr>
        <w:t>.</w:t>
      </w:r>
      <w:r>
        <w:rPr>
          <w:szCs w:val="28"/>
          <w:u w:val="single"/>
        </w:rPr>
        <w:t xml:space="preserve">  </w:t>
      </w:r>
      <w:r w:rsidR="00EC1EC3">
        <w:rPr>
          <w:szCs w:val="28"/>
          <w:u w:val="single"/>
        </w:rPr>
        <w:t>We frequently are asked to consider motions for new trial following criminal convictions and we will dedicate this podcast to criminal proceedings.</w:t>
      </w:r>
      <w:r w:rsidR="00603B24">
        <w:rPr>
          <w:szCs w:val="28"/>
          <w:u w:val="single"/>
        </w:rPr>
        <w:t xml:space="preserve">  We are also not focusing on death penalty cases as they have different rules and time limits.  Today, we are looking at MNT in “basic” felony cases.</w:t>
      </w:r>
    </w:p>
    <w:p w14:paraId="5BD3DAF6" w14:textId="3B88915A" w:rsidR="00EC1EC3" w:rsidRDefault="00B81FD9" w:rsidP="006B6476">
      <w:pPr>
        <w:pStyle w:val="ListParaNoIndent"/>
        <w:numPr>
          <w:ilvl w:val="1"/>
          <w:numId w:val="2"/>
        </w:numPr>
        <w:tabs>
          <w:tab w:val="clear" w:pos="43"/>
          <w:tab w:val="clear" w:pos="432"/>
        </w:tabs>
        <w:spacing w:line="480" w:lineRule="auto"/>
        <w:ind w:left="720"/>
        <w:rPr>
          <w:szCs w:val="28"/>
        </w:rPr>
      </w:pPr>
      <w:r>
        <w:rPr>
          <w:szCs w:val="28"/>
        </w:rPr>
        <w:t>We cannot predict all of the issues that might arise in a particular motion for new trial but we wanted to touch on topics that frequently arise and the issues judges are expected to address in most motions for new trial.</w:t>
      </w:r>
    </w:p>
    <w:p w14:paraId="481A99B6" w14:textId="7792B856" w:rsidR="00653FAD" w:rsidRPr="00906E00" w:rsidRDefault="00585ACF" w:rsidP="006B6476">
      <w:pPr>
        <w:pStyle w:val="ListParaNoIndent"/>
        <w:numPr>
          <w:ilvl w:val="1"/>
          <w:numId w:val="2"/>
        </w:numPr>
        <w:tabs>
          <w:tab w:val="clear" w:pos="43"/>
          <w:tab w:val="clear" w:pos="432"/>
        </w:tabs>
        <w:spacing w:line="480" w:lineRule="auto"/>
        <w:ind w:left="720"/>
        <w:rPr>
          <w:szCs w:val="28"/>
        </w:rPr>
      </w:pPr>
      <w:r>
        <w:rPr>
          <w:szCs w:val="28"/>
          <w:u w:val="single"/>
        </w:rPr>
        <w:lastRenderedPageBreak/>
        <w:t xml:space="preserve">We recognize that this podcast topic is </w:t>
      </w:r>
      <w:r w:rsidR="00B81FD9">
        <w:rPr>
          <w:szCs w:val="28"/>
          <w:u w:val="single"/>
        </w:rPr>
        <w:t xml:space="preserve">another one that will </w:t>
      </w:r>
      <w:r>
        <w:rPr>
          <w:szCs w:val="28"/>
          <w:u w:val="single"/>
        </w:rPr>
        <w:t xml:space="preserve">probably not going to find itself on anyone’s list of top 10 most downloaded podcasts.  But if a judge or lawyer finds themselves </w:t>
      </w:r>
      <w:r w:rsidR="00B81FD9">
        <w:rPr>
          <w:szCs w:val="28"/>
          <w:u w:val="single"/>
        </w:rPr>
        <w:t xml:space="preserve">scheduled to participate in a motion for new trial hearing, </w:t>
      </w:r>
      <w:r>
        <w:rPr>
          <w:szCs w:val="28"/>
          <w:u w:val="single"/>
        </w:rPr>
        <w:t xml:space="preserve">we wanted to give everyone a quick reference guide that can help them maneuver the issue.  </w:t>
      </w:r>
      <w:r w:rsidR="00785C5A">
        <w:rPr>
          <w:szCs w:val="28"/>
          <w:u w:val="single"/>
        </w:rPr>
        <w:t xml:space="preserve">Motions for new trial are seen frequently and you can rely on this podcast as </w:t>
      </w:r>
      <w:r>
        <w:rPr>
          <w:szCs w:val="28"/>
          <w:u w:val="single"/>
        </w:rPr>
        <w:t xml:space="preserve"> a go-to guide.</w:t>
      </w:r>
    </w:p>
    <w:p w14:paraId="24D9C02A" w14:textId="20FA370C" w:rsidR="00653FAD" w:rsidRDefault="00585ACF" w:rsidP="006B6476">
      <w:pPr>
        <w:pStyle w:val="ListParaNoIndent"/>
        <w:numPr>
          <w:ilvl w:val="1"/>
          <w:numId w:val="2"/>
        </w:numPr>
        <w:tabs>
          <w:tab w:val="clear" w:pos="43"/>
          <w:tab w:val="clear" w:pos="432"/>
        </w:tabs>
        <w:spacing w:line="480" w:lineRule="auto"/>
        <w:ind w:left="720"/>
        <w:rPr>
          <w:szCs w:val="28"/>
        </w:rPr>
      </w:pPr>
      <w:r>
        <w:rPr>
          <w:szCs w:val="28"/>
        </w:rPr>
        <w:t>That’s very true.  We are not trying to produce law review articles via podcast</w:t>
      </w:r>
      <w:r w:rsidR="001E2F1D">
        <w:rPr>
          <w:szCs w:val="28"/>
        </w:rPr>
        <w:t xml:space="preserve">s.  </w:t>
      </w:r>
      <w:r w:rsidR="00920081">
        <w:rPr>
          <w:szCs w:val="28"/>
        </w:rPr>
        <w:t xml:space="preserve">And we are not covering every contingency that might arise in this type of case.  </w:t>
      </w:r>
      <w:r w:rsidR="001E2F1D">
        <w:rPr>
          <w:szCs w:val="28"/>
        </w:rPr>
        <w:t xml:space="preserve">Instead, we are trying to give you a starting point and overview of the topic.  Remember, we are posting an outline or similar reference guide on our website, </w:t>
      </w:r>
      <w:r w:rsidR="001E2F1D" w:rsidRPr="00920081">
        <w:rPr>
          <w:b/>
          <w:bCs/>
          <w:szCs w:val="28"/>
        </w:rPr>
        <w:t>goodjudgepod.com</w:t>
      </w:r>
      <w:r w:rsidR="001E2F1D">
        <w:rPr>
          <w:szCs w:val="28"/>
        </w:rPr>
        <w:t>.  You can find the outlines there if you did not catch a citation while you were driving or doing other things.</w:t>
      </w:r>
    </w:p>
    <w:p w14:paraId="3A1E9AE8" w14:textId="2FE79109" w:rsidR="00A13E99" w:rsidRDefault="00A13E99" w:rsidP="006B6476">
      <w:pPr>
        <w:pStyle w:val="ListParaNoIndent"/>
        <w:numPr>
          <w:ilvl w:val="1"/>
          <w:numId w:val="2"/>
        </w:numPr>
        <w:tabs>
          <w:tab w:val="clear" w:pos="43"/>
          <w:tab w:val="clear" w:pos="432"/>
        </w:tabs>
        <w:spacing w:line="480" w:lineRule="auto"/>
        <w:ind w:left="720"/>
        <w:rPr>
          <w:szCs w:val="28"/>
        </w:rPr>
      </w:pPr>
      <w:r>
        <w:rPr>
          <w:szCs w:val="28"/>
        </w:rPr>
        <w:t xml:space="preserve">One more preliminary note that we probably should address in each podcast. I have a case with a pending appeal involving a MNT.  I will try my very best to avoid commentary on that issue, once we reach it.  But both of us have cases involving all of these podcast topics and we are never trying to make a statement on any particular case.  Instead, we are focused on the </w:t>
      </w:r>
      <w:r>
        <w:rPr>
          <w:szCs w:val="28"/>
        </w:rPr>
        <w:lastRenderedPageBreak/>
        <w:t>topic</w:t>
      </w:r>
      <w:r w:rsidR="00402AA7">
        <w:rPr>
          <w:szCs w:val="28"/>
        </w:rPr>
        <w:t xml:space="preserve"> and the law relating to that topic.  Enough with the disclaimers, let’s talk some MOTION FOR NEW TRIAL law.</w:t>
      </w:r>
    </w:p>
    <w:p w14:paraId="4D7B6245" w14:textId="64E06085" w:rsidR="00EB29F1" w:rsidRPr="00906E00" w:rsidRDefault="00EB29F1" w:rsidP="006B6476">
      <w:pPr>
        <w:pStyle w:val="ListParaNoIndent"/>
        <w:numPr>
          <w:ilvl w:val="0"/>
          <w:numId w:val="0"/>
        </w:numPr>
        <w:tabs>
          <w:tab w:val="clear" w:pos="43"/>
          <w:tab w:val="clear" w:pos="432"/>
        </w:tabs>
        <w:spacing w:line="480" w:lineRule="auto"/>
        <w:rPr>
          <w:szCs w:val="28"/>
        </w:rPr>
      </w:pPr>
      <w:r>
        <w:rPr>
          <w:szCs w:val="28"/>
        </w:rPr>
        <w:pict w14:anchorId="0EE3B14D">
          <v:rect id="_x0000_i1025" style="width:0;height:1.5pt" o:hralign="center" o:hrstd="t" o:hr="t" fillcolor="#a0a0a0" stroked="f"/>
        </w:pict>
      </w:r>
    </w:p>
    <w:p w14:paraId="2F5C51A8" w14:textId="186F6F9A" w:rsidR="009578B7" w:rsidRPr="009578B7" w:rsidRDefault="009578B7" w:rsidP="009578B7">
      <w:pPr>
        <w:pStyle w:val="ListParaNoIndent"/>
        <w:numPr>
          <w:ilvl w:val="0"/>
          <w:numId w:val="0"/>
        </w:numPr>
        <w:spacing w:line="480" w:lineRule="auto"/>
        <w:jc w:val="center"/>
        <w:rPr>
          <w:i/>
          <w:iCs/>
          <w:szCs w:val="28"/>
        </w:rPr>
      </w:pPr>
      <w:r>
        <w:rPr>
          <w:b/>
          <w:bCs/>
          <w:szCs w:val="28"/>
          <w:u w:val="single"/>
        </w:rPr>
        <w:t xml:space="preserve">THE NEW U.S.C.R. IN LIGHT OF </w:t>
      </w:r>
      <w:r>
        <w:rPr>
          <w:b/>
          <w:bCs/>
          <w:i/>
          <w:iCs/>
          <w:szCs w:val="28"/>
          <w:u w:val="single"/>
        </w:rPr>
        <w:t>OWENS</w:t>
      </w:r>
    </w:p>
    <w:p w14:paraId="3560A954" w14:textId="0E2B54AE" w:rsidR="008B3A8C" w:rsidRPr="008B3A8C" w:rsidRDefault="008B3A8C" w:rsidP="0064023B">
      <w:pPr>
        <w:pStyle w:val="ListParaNoIndent"/>
        <w:numPr>
          <w:ilvl w:val="0"/>
          <w:numId w:val="20"/>
        </w:numPr>
        <w:spacing w:line="480" w:lineRule="auto"/>
        <w:rPr>
          <w:szCs w:val="28"/>
          <w:u w:val="single"/>
        </w:rPr>
      </w:pPr>
      <w:r>
        <w:rPr>
          <w:szCs w:val="28"/>
        </w:rPr>
        <w:t xml:space="preserve">Tain, let’s start with looking at the new U.S.C.R. 41.1, 41.2, 41.3 and 41.4 which were recently modified in light of the decision in </w:t>
      </w:r>
      <w:r>
        <w:rPr>
          <w:i/>
          <w:iCs/>
          <w:szCs w:val="28"/>
        </w:rPr>
        <w:t>Owens v. State</w:t>
      </w:r>
      <w:r>
        <w:rPr>
          <w:szCs w:val="28"/>
        </w:rPr>
        <w:t>, 303 Ga. 254 (2018).</w:t>
      </w:r>
    </w:p>
    <w:p w14:paraId="078A86D2" w14:textId="5B9A2B43" w:rsidR="008B3A8C" w:rsidRPr="00BC64B8" w:rsidRDefault="00BC64B8" w:rsidP="0064023B">
      <w:pPr>
        <w:pStyle w:val="ListParaNoIndent"/>
        <w:numPr>
          <w:ilvl w:val="0"/>
          <w:numId w:val="20"/>
        </w:numPr>
        <w:spacing w:line="480" w:lineRule="auto"/>
        <w:rPr>
          <w:szCs w:val="28"/>
          <w:u w:val="single"/>
        </w:rPr>
      </w:pPr>
      <w:r>
        <w:rPr>
          <w:szCs w:val="28"/>
          <w:u w:val="single"/>
        </w:rPr>
        <w:t xml:space="preserve">[Tain-discuss </w:t>
      </w:r>
      <w:r>
        <w:rPr>
          <w:i/>
          <w:iCs/>
          <w:szCs w:val="28"/>
          <w:u w:val="single"/>
        </w:rPr>
        <w:t>Owens</w:t>
      </w:r>
      <w:r>
        <w:rPr>
          <w:szCs w:val="28"/>
          <w:u w:val="single"/>
        </w:rPr>
        <w:t xml:space="preserve"> in general; how judges have a role in ensuring MNT get heard on a timely basis, etc.]</w:t>
      </w:r>
    </w:p>
    <w:p w14:paraId="447A8D72" w14:textId="6B6CECD2" w:rsidR="00BC64B8" w:rsidRPr="00BC64B8" w:rsidRDefault="00BC64B8" w:rsidP="0064023B">
      <w:pPr>
        <w:pStyle w:val="ListParaNoIndent"/>
        <w:numPr>
          <w:ilvl w:val="0"/>
          <w:numId w:val="20"/>
        </w:numPr>
        <w:spacing w:line="480" w:lineRule="auto"/>
        <w:rPr>
          <w:szCs w:val="28"/>
          <w:u w:val="single"/>
        </w:rPr>
      </w:pPr>
      <w:r>
        <w:rPr>
          <w:szCs w:val="28"/>
        </w:rPr>
        <w:t xml:space="preserve">The new U.S.C.R. 41.1 THROUGH 4 all have been modified to reinforce that expectation addressed in </w:t>
      </w:r>
      <w:r>
        <w:rPr>
          <w:i/>
          <w:iCs/>
          <w:szCs w:val="28"/>
        </w:rPr>
        <w:t>Owens</w:t>
      </w:r>
      <w:r>
        <w:rPr>
          <w:szCs w:val="28"/>
        </w:rPr>
        <w:t>.</w:t>
      </w:r>
    </w:p>
    <w:p w14:paraId="4CC61F83" w14:textId="28DDAD59" w:rsidR="00BC64B8" w:rsidRPr="00BC64B8" w:rsidRDefault="00BC64B8" w:rsidP="00BC64B8">
      <w:pPr>
        <w:pStyle w:val="ListParaNoIndent"/>
        <w:numPr>
          <w:ilvl w:val="1"/>
          <w:numId w:val="20"/>
        </w:numPr>
        <w:spacing w:line="480" w:lineRule="auto"/>
        <w:rPr>
          <w:szCs w:val="28"/>
          <w:u w:val="single"/>
        </w:rPr>
      </w:pPr>
      <w:r>
        <w:rPr>
          <w:szCs w:val="28"/>
        </w:rPr>
        <w:t>As a practical matter, the court is expected to schedule a status conference with counsel no later than 120 days after sentencing. (U.S.C.R. 41.1)</w:t>
      </w:r>
    </w:p>
    <w:p w14:paraId="5B50025A" w14:textId="57932837" w:rsidR="00BC64B8" w:rsidRPr="00A13E99" w:rsidRDefault="00BC64B8" w:rsidP="00BC64B8">
      <w:pPr>
        <w:pStyle w:val="ListParaNoIndent"/>
        <w:numPr>
          <w:ilvl w:val="2"/>
          <w:numId w:val="20"/>
        </w:numPr>
        <w:spacing w:line="480" w:lineRule="auto"/>
        <w:rPr>
          <w:szCs w:val="28"/>
          <w:u w:val="single"/>
        </w:rPr>
      </w:pPr>
      <w:r>
        <w:rPr>
          <w:szCs w:val="28"/>
        </w:rPr>
        <w:t xml:space="preserve">That assumes </w:t>
      </w:r>
      <w:r w:rsidR="00A13E99">
        <w:rPr>
          <w:szCs w:val="28"/>
        </w:rPr>
        <w:t>a MNT has been filed, I suppose.  Not really clear from the Rule</w:t>
      </w:r>
    </w:p>
    <w:p w14:paraId="437AACC8" w14:textId="61DDE931" w:rsidR="00A13E99" w:rsidRPr="009578B7" w:rsidRDefault="00A13E99" w:rsidP="00A13E99">
      <w:pPr>
        <w:pStyle w:val="ListParaNoIndent"/>
        <w:numPr>
          <w:ilvl w:val="1"/>
          <w:numId w:val="20"/>
        </w:numPr>
        <w:spacing w:line="480" w:lineRule="auto"/>
        <w:rPr>
          <w:szCs w:val="28"/>
          <w:u w:val="single"/>
        </w:rPr>
      </w:pPr>
      <w:r>
        <w:rPr>
          <w:szCs w:val="28"/>
        </w:rPr>
        <w:t>After that first status conference, the court is required to schedule additional status conferences every 180 days thereafter until the MNT is heard and decided.</w:t>
      </w:r>
      <w:r w:rsidR="00402AA7">
        <w:rPr>
          <w:szCs w:val="28"/>
        </w:rPr>
        <w:t xml:space="preserve"> (U.S.C.R. 41.1)</w:t>
      </w:r>
    </w:p>
    <w:p w14:paraId="1947EA20" w14:textId="2713F233" w:rsidR="009578B7" w:rsidRDefault="009578B7" w:rsidP="009578B7">
      <w:pPr>
        <w:pStyle w:val="ListParaNoIndent"/>
        <w:numPr>
          <w:ilvl w:val="0"/>
          <w:numId w:val="0"/>
        </w:numPr>
        <w:spacing w:line="480" w:lineRule="auto"/>
        <w:rPr>
          <w:szCs w:val="28"/>
        </w:rPr>
      </w:pPr>
      <w:r>
        <w:rPr>
          <w:szCs w:val="28"/>
        </w:rPr>
        <w:lastRenderedPageBreak/>
        <w:pict w14:anchorId="38D3F3BC">
          <v:rect id="_x0000_i1034" style="width:0;height:1.5pt" o:hralign="center" o:hrstd="t" o:hr="t" fillcolor="#a0a0a0" stroked="f"/>
        </w:pict>
      </w:r>
    </w:p>
    <w:p w14:paraId="433F594E" w14:textId="13F78C8A" w:rsidR="00953C9A" w:rsidRDefault="00953C9A" w:rsidP="00953C9A">
      <w:pPr>
        <w:pStyle w:val="ListParaNoIndent"/>
        <w:numPr>
          <w:ilvl w:val="0"/>
          <w:numId w:val="0"/>
        </w:numPr>
        <w:spacing w:line="480" w:lineRule="auto"/>
        <w:jc w:val="center"/>
        <w:rPr>
          <w:szCs w:val="28"/>
        </w:rPr>
      </w:pPr>
      <w:r>
        <w:rPr>
          <w:b/>
          <w:bCs/>
          <w:szCs w:val="28"/>
          <w:u w:val="single"/>
        </w:rPr>
        <w:t>DEFENDANT’S PRESENCE AT MNT HEARING</w:t>
      </w:r>
    </w:p>
    <w:p w14:paraId="1AD73837" w14:textId="1BEDC189" w:rsidR="00953C9A" w:rsidRDefault="00953C9A" w:rsidP="00953C9A">
      <w:pPr>
        <w:pStyle w:val="ListParaNoIndent"/>
        <w:numPr>
          <w:ilvl w:val="0"/>
          <w:numId w:val="20"/>
        </w:numPr>
        <w:spacing w:line="480" w:lineRule="auto"/>
        <w:rPr>
          <w:szCs w:val="28"/>
        </w:rPr>
      </w:pPr>
      <w:r>
        <w:rPr>
          <w:szCs w:val="28"/>
        </w:rPr>
        <w:t xml:space="preserve">A defendant does not have the unqualified right to be present at a MNT hearing.  </w:t>
      </w:r>
      <w:r w:rsidR="00C354EB">
        <w:rPr>
          <w:i/>
          <w:iCs/>
          <w:szCs w:val="28"/>
        </w:rPr>
        <w:t>Mims v. State</w:t>
      </w:r>
      <w:r w:rsidR="00C354EB">
        <w:rPr>
          <w:szCs w:val="28"/>
        </w:rPr>
        <w:t>, 304 Ga. 851, 861 (2019);</w:t>
      </w:r>
      <w:r w:rsidR="00C354EB">
        <w:rPr>
          <w:i/>
          <w:iCs/>
          <w:szCs w:val="28"/>
        </w:rPr>
        <w:t xml:space="preserve"> </w:t>
      </w:r>
      <w:proofErr w:type="spellStart"/>
      <w:r>
        <w:rPr>
          <w:i/>
          <w:iCs/>
          <w:szCs w:val="28"/>
        </w:rPr>
        <w:t>Bozzie</w:t>
      </w:r>
      <w:proofErr w:type="spellEnd"/>
      <w:r>
        <w:rPr>
          <w:i/>
          <w:iCs/>
          <w:szCs w:val="28"/>
        </w:rPr>
        <w:t xml:space="preserve"> v. State</w:t>
      </w:r>
      <w:r>
        <w:rPr>
          <w:szCs w:val="28"/>
        </w:rPr>
        <w:t>, 302 Ga. 704</w:t>
      </w:r>
      <w:r w:rsidR="00C354EB">
        <w:rPr>
          <w:szCs w:val="28"/>
        </w:rPr>
        <w:t>, 713</w:t>
      </w:r>
      <w:r>
        <w:rPr>
          <w:szCs w:val="28"/>
        </w:rPr>
        <w:t xml:space="preserve"> (2017); </w:t>
      </w:r>
      <w:r>
        <w:rPr>
          <w:i/>
          <w:iCs/>
          <w:szCs w:val="28"/>
        </w:rPr>
        <w:t>Rosser v. State</w:t>
      </w:r>
      <w:r>
        <w:rPr>
          <w:szCs w:val="28"/>
        </w:rPr>
        <w:t>, 284 Ga. 335, 336 (2008).</w:t>
      </w:r>
    </w:p>
    <w:p w14:paraId="322C3D33" w14:textId="7704FE10" w:rsidR="00C354EB" w:rsidRDefault="00C354EB" w:rsidP="00C354EB">
      <w:pPr>
        <w:pStyle w:val="ListParaNoIndent"/>
        <w:numPr>
          <w:ilvl w:val="1"/>
          <w:numId w:val="20"/>
        </w:numPr>
        <w:spacing w:line="480" w:lineRule="auto"/>
        <w:rPr>
          <w:szCs w:val="28"/>
        </w:rPr>
      </w:pPr>
      <w:r>
        <w:rPr>
          <w:szCs w:val="28"/>
        </w:rPr>
        <w:t xml:space="preserve">A defendant must be present where the defendant would have offered testimony that was relevant to the issues presented in his motion.  </w:t>
      </w:r>
      <w:proofErr w:type="spellStart"/>
      <w:r>
        <w:rPr>
          <w:i/>
          <w:iCs/>
          <w:szCs w:val="28"/>
        </w:rPr>
        <w:t>Bozzie</w:t>
      </w:r>
      <w:proofErr w:type="spellEnd"/>
      <w:r>
        <w:rPr>
          <w:szCs w:val="28"/>
        </w:rPr>
        <w:t>, at 713.</w:t>
      </w:r>
    </w:p>
    <w:p w14:paraId="1593B396" w14:textId="5AC9B3E8" w:rsidR="00C354EB" w:rsidRDefault="00C354EB" w:rsidP="00C354EB">
      <w:pPr>
        <w:pStyle w:val="ListParaNoIndent"/>
        <w:numPr>
          <w:ilvl w:val="2"/>
          <w:numId w:val="20"/>
        </w:numPr>
        <w:spacing w:line="480" w:lineRule="auto"/>
        <w:rPr>
          <w:szCs w:val="28"/>
        </w:rPr>
      </w:pPr>
      <w:r>
        <w:rPr>
          <w:szCs w:val="28"/>
        </w:rPr>
        <w:t>This usually occurs in cases involving claims of ineffective assistance of counsel.</w:t>
      </w:r>
      <w:r w:rsidR="000C2BBB">
        <w:rPr>
          <w:szCs w:val="28"/>
        </w:rPr>
        <w:t xml:space="preserve">  And even in such cases, the right to be present at the hearing is not subject to remand unless the information could not be received by the court without the defendant’s presence.  </w:t>
      </w:r>
      <w:r w:rsidR="000C2BBB">
        <w:rPr>
          <w:i/>
          <w:iCs/>
          <w:szCs w:val="28"/>
        </w:rPr>
        <w:t>Mims</w:t>
      </w:r>
      <w:r w:rsidR="000C2BBB">
        <w:rPr>
          <w:szCs w:val="28"/>
        </w:rPr>
        <w:t>, supra.</w:t>
      </w:r>
    </w:p>
    <w:p w14:paraId="0707B59C" w14:textId="5B1F07B8" w:rsidR="006C4671" w:rsidRDefault="006C4671" w:rsidP="006C4671">
      <w:pPr>
        <w:pStyle w:val="ListParaNoIndent"/>
        <w:numPr>
          <w:ilvl w:val="0"/>
          <w:numId w:val="20"/>
        </w:numPr>
        <w:spacing w:line="480" w:lineRule="auto"/>
        <w:rPr>
          <w:szCs w:val="28"/>
        </w:rPr>
      </w:pPr>
      <w:r>
        <w:rPr>
          <w:szCs w:val="28"/>
        </w:rPr>
        <w:t>U.S.C.R. 41.1 sets forth who is required to have the defendant present for a MNT when “the defendant’s presence is required by law.”</w:t>
      </w:r>
    </w:p>
    <w:p w14:paraId="662D83C5" w14:textId="43174EC3" w:rsidR="000C2BBB" w:rsidRDefault="000C2BBB" w:rsidP="000C2BBB">
      <w:pPr>
        <w:pStyle w:val="ListParaNoIndent"/>
        <w:numPr>
          <w:ilvl w:val="0"/>
          <w:numId w:val="20"/>
        </w:numPr>
        <w:spacing w:line="480" w:lineRule="auto"/>
        <w:rPr>
          <w:szCs w:val="28"/>
        </w:rPr>
      </w:pPr>
      <w:r>
        <w:rPr>
          <w:szCs w:val="28"/>
        </w:rPr>
        <w:t>We have the ability, under U.S.C.R. 9.2, to have the defendant appear via video-conferencing.  The DOC has facilities to make arrangements for such an appearance by video.</w:t>
      </w:r>
    </w:p>
    <w:p w14:paraId="703567A1" w14:textId="5C4250F7" w:rsidR="000C2BBB" w:rsidRDefault="007304F0" w:rsidP="000C2BBB">
      <w:pPr>
        <w:pStyle w:val="ListParaNoIndent"/>
        <w:numPr>
          <w:ilvl w:val="1"/>
          <w:numId w:val="20"/>
        </w:numPr>
        <w:spacing w:line="480" w:lineRule="auto"/>
        <w:rPr>
          <w:szCs w:val="28"/>
        </w:rPr>
      </w:pPr>
      <w:r>
        <w:rPr>
          <w:szCs w:val="28"/>
        </w:rPr>
        <w:lastRenderedPageBreak/>
        <w:t xml:space="preserve">The DOC has taken the effort to install video-conferencing equipment at every Georgia prison.  You will need to obtain the corresponding equipment at your courthouse.  </w:t>
      </w:r>
    </w:p>
    <w:p w14:paraId="77290312" w14:textId="1F3A9286" w:rsidR="007304F0" w:rsidRDefault="007304F0" w:rsidP="007304F0">
      <w:pPr>
        <w:pStyle w:val="ListParaNoIndent"/>
        <w:numPr>
          <w:ilvl w:val="2"/>
          <w:numId w:val="20"/>
        </w:numPr>
        <w:spacing w:line="480" w:lineRule="auto"/>
        <w:rPr>
          <w:szCs w:val="28"/>
        </w:rPr>
      </w:pPr>
      <w:r>
        <w:rPr>
          <w:szCs w:val="28"/>
        </w:rPr>
        <w:t>We will be doing an entire podcast on these video hearings and we made a presentation during the summer conference last year</w:t>
      </w:r>
      <w:r w:rsidR="005B4FB4">
        <w:rPr>
          <w:szCs w:val="28"/>
        </w:rPr>
        <w:t xml:space="preserve"> for superior court judges</w:t>
      </w:r>
    </w:p>
    <w:p w14:paraId="2513DB39" w14:textId="16A28AA1" w:rsidR="005B4FB4" w:rsidRDefault="005B4FB4" w:rsidP="007304F0">
      <w:pPr>
        <w:pStyle w:val="ListParaNoIndent"/>
        <w:numPr>
          <w:ilvl w:val="2"/>
          <w:numId w:val="20"/>
        </w:numPr>
        <w:spacing w:line="480" w:lineRule="auto"/>
        <w:rPr>
          <w:szCs w:val="28"/>
        </w:rPr>
      </w:pPr>
      <w:r>
        <w:rPr>
          <w:szCs w:val="28"/>
        </w:rPr>
        <w:t>Regardless, understand that there are rules associated with using video conferencing that would probably prevent you from opening Skype or Facetime on a laptop and having a hearing.</w:t>
      </w:r>
    </w:p>
    <w:p w14:paraId="74ACF044" w14:textId="07B5AFDF" w:rsidR="005B4FB4" w:rsidRDefault="005B4FB4" w:rsidP="007304F0">
      <w:pPr>
        <w:pStyle w:val="ListParaNoIndent"/>
        <w:numPr>
          <w:ilvl w:val="2"/>
          <w:numId w:val="20"/>
        </w:numPr>
        <w:spacing w:line="480" w:lineRule="auto"/>
        <w:rPr>
          <w:szCs w:val="28"/>
        </w:rPr>
      </w:pPr>
      <w:r>
        <w:rPr>
          <w:szCs w:val="28"/>
        </w:rPr>
        <w:t>The beautiful part is that the DOC has worked through all of those rules and if you use their equipment, you can allow a defendant to “appear” from a facility owned and operated by the DOC.</w:t>
      </w:r>
    </w:p>
    <w:p w14:paraId="6028B382" w14:textId="2767399C" w:rsidR="005B4FB4" w:rsidRDefault="005B4FB4" w:rsidP="005B4FB4">
      <w:pPr>
        <w:pStyle w:val="ListParaNoIndent"/>
        <w:numPr>
          <w:ilvl w:val="3"/>
          <w:numId w:val="20"/>
        </w:numPr>
        <w:spacing w:line="480" w:lineRule="auto"/>
        <w:rPr>
          <w:szCs w:val="28"/>
        </w:rPr>
      </w:pPr>
      <w:r>
        <w:rPr>
          <w:szCs w:val="28"/>
        </w:rPr>
        <w:t xml:space="preserve">No threat of injury, time and expense to the Sheriff, etc. etc.  </w:t>
      </w:r>
    </w:p>
    <w:p w14:paraId="3E19D79C" w14:textId="1AA25385" w:rsidR="005B4FB4" w:rsidRDefault="005B4FB4" w:rsidP="005B4FB4">
      <w:pPr>
        <w:pStyle w:val="ListParaNoIndent"/>
        <w:numPr>
          <w:ilvl w:val="3"/>
          <w:numId w:val="20"/>
        </w:numPr>
        <w:spacing w:line="480" w:lineRule="auto"/>
        <w:rPr>
          <w:szCs w:val="28"/>
        </w:rPr>
      </w:pPr>
      <w:r>
        <w:rPr>
          <w:szCs w:val="28"/>
        </w:rPr>
        <w:t>Stay tuned for our podcast on video hearings.</w:t>
      </w:r>
    </w:p>
    <w:p w14:paraId="606AE051" w14:textId="407F0AFA" w:rsidR="006C4671" w:rsidRPr="000C2BBB" w:rsidRDefault="006C4671" w:rsidP="006C4671">
      <w:pPr>
        <w:pStyle w:val="ListParaNoIndent"/>
        <w:numPr>
          <w:ilvl w:val="0"/>
          <w:numId w:val="0"/>
        </w:numPr>
        <w:spacing w:line="480" w:lineRule="auto"/>
        <w:rPr>
          <w:szCs w:val="28"/>
        </w:rPr>
      </w:pPr>
      <w:r>
        <w:rPr>
          <w:szCs w:val="28"/>
        </w:rPr>
        <w:pict w14:anchorId="44BA7749">
          <v:rect id="_x0000_i1040" style="width:0;height:1.5pt" o:hralign="center" o:hrstd="t" o:hr="t" fillcolor="#a0a0a0" stroked="f"/>
        </w:pict>
      </w:r>
    </w:p>
    <w:p w14:paraId="6B4770D8" w14:textId="13646960" w:rsidR="009578B7" w:rsidRPr="009578B7" w:rsidRDefault="009578B7" w:rsidP="009578B7">
      <w:pPr>
        <w:pStyle w:val="ListParaNoIndent"/>
        <w:numPr>
          <w:ilvl w:val="0"/>
          <w:numId w:val="0"/>
        </w:numPr>
        <w:spacing w:line="480" w:lineRule="auto"/>
        <w:jc w:val="center"/>
        <w:rPr>
          <w:szCs w:val="28"/>
        </w:rPr>
      </w:pPr>
      <w:r>
        <w:rPr>
          <w:b/>
          <w:bCs/>
          <w:szCs w:val="28"/>
          <w:u w:val="single"/>
        </w:rPr>
        <w:t>KEEPING UP WITH MNT</w:t>
      </w:r>
    </w:p>
    <w:p w14:paraId="6525A107" w14:textId="77777777" w:rsidR="009578B7" w:rsidRPr="00402AA7" w:rsidRDefault="009578B7" w:rsidP="009578B7">
      <w:pPr>
        <w:pStyle w:val="ListParaNoIndent"/>
        <w:numPr>
          <w:ilvl w:val="0"/>
          <w:numId w:val="20"/>
        </w:numPr>
        <w:spacing w:line="480" w:lineRule="auto"/>
        <w:rPr>
          <w:szCs w:val="28"/>
          <w:u w:val="single"/>
        </w:rPr>
      </w:pPr>
      <w:r>
        <w:rPr>
          <w:szCs w:val="28"/>
        </w:rPr>
        <w:t>Tain, let’s take a minute and discuss how we keep up with pending MNT in our offices.</w:t>
      </w:r>
    </w:p>
    <w:p w14:paraId="6F9F7955" w14:textId="77777777" w:rsidR="009578B7" w:rsidRPr="00402AA7" w:rsidRDefault="009578B7" w:rsidP="009578B7">
      <w:pPr>
        <w:pStyle w:val="ListParaNoIndent"/>
        <w:numPr>
          <w:ilvl w:val="1"/>
          <w:numId w:val="20"/>
        </w:numPr>
        <w:spacing w:line="480" w:lineRule="auto"/>
        <w:rPr>
          <w:szCs w:val="28"/>
          <w:u w:val="single"/>
        </w:rPr>
      </w:pPr>
      <w:r>
        <w:rPr>
          <w:szCs w:val="28"/>
        </w:rPr>
        <w:lastRenderedPageBreak/>
        <w:t>[I keep an Excel spreadsheet with all convictions.  My court reporter has access as does my assistant.  The court reporter adds info when she has completed the transcript.  My assistant notes the status conferences.  I keep up with the other fields within the Excel.]</w:t>
      </w:r>
    </w:p>
    <w:p w14:paraId="53FEB261" w14:textId="77777777" w:rsidR="009578B7" w:rsidRDefault="009578B7" w:rsidP="009578B7">
      <w:pPr>
        <w:pStyle w:val="ListParaNoIndent"/>
        <w:numPr>
          <w:ilvl w:val="1"/>
          <w:numId w:val="20"/>
        </w:numPr>
        <w:spacing w:line="480" w:lineRule="auto"/>
        <w:rPr>
          <w:szCs w:val="28"/>
          <w:u w:val="single"/>
        </w:rPr>
      </w:pPr>
      <w:r w:rsidRPr="00CA0FB9">
        <w:rPr>
          <w:szCs w:val="28"/>
          <w:u w:val="single"/>
        </w:rPr>
        <w:t>[Tain--]</w:t>
      </w:r>
    </w:p>
    <w:p w14:paraId="6D0E20DB" w14:textId="77777777" w:rsidR="009578B7" w:rsidRPr="00CA0FB9" w:rsidRDefault="009578B7" w:rsidP="009578B7">
      <w:pPr>
        <w:pStyle w:val="ListParaNoIndent"/>
        <w:numPr>
          <w:ilvl w:val="0"/>
          <w:numId w:val="20"/>
        </w:numPr>
        <w:spacing w:line="480" w:lineRule="auto"/>
        <w:rPr>
          <w:szCs w:val="28"/>
          <w:u w:val="single"/>
        </w:rPr>
      </w:pPr>
      <w:r>
        <w:rPr>
          <w:szCs w:val="28"/>
        </w:rPr>
        <w:t>The status conferences are to be on the record OR the court should enter an order memorializing the conference.  But the defendant does not have to be present.  The rules also allow for the status conferences to be conducted by telephone.</w:t>
      </w:r>
    </w:p>
    <w:p w14:paraId="520F67CB" w14:textId="77777777" w:rsidR="009578B7" w:rsidRPr="00635901" w:rsidRDefault="009578B7" w:rsidP="009578B7">
      <w:pPr>
        <w:pStyle w:val="ListParaNoIndent"/>
        <w:numPr>
          <w:ilvl w:val="0"/>
          <w:numId w:val="20"/>
        </w:numPr>
        <w:spacing w:line="480" w:lineRule="auto"/>
        <w:rPr>
          <w:szCs w:val="28"/>
          <w:u w:val="single"/>
        </w:rPr>
      </w:pPr>
      <w:r>
        <w:rPr>
          <w:szCs w:val="28"/>
        </w:rPr>
        <w:t>The new U.S.C.R. 41.3 includes a provision that is worth noting.  In my circuit, we frequently have cases where retained counsel tries the case and then files a bare bones motion for new trial.  Then the retained lawyer promptly seeks to withdraw, thinking that the court will appoint appellate counsel.</w:t>
      </w:r>
    </w:p>
    <w:p w14:paraId="26B76836" w14:textId="340DC8DD" w:rsidR="009578B7" w:rsidRPr="00603B24" w:rsidRDefault="009578B7" w:rsidP="009578B7">
      <w:pPr>
        <w:pStyle w:val="ListParaNoIndent"/>
        <w:numPr>
          <w:ilvl w:val="0"/>
          <w:numId w:val="0"/>
        </w:numPr>
        <w:spacing w:line="480" w:lineRule="auto"/>
        <w:rPr>
          <w:szCs w:val="28"/>
          <w:u w:val="single"/>
        </w:rPr>
      </w:pPr>
      <w:r>
        <w:rPr>
          <w:szCs w:val="28"/>
        </w:rPr>
        <w:t>41.3 specifically notes that the filing of a MNT makes the lawyer who files the motion personally responsible for the cost of the transcript.  The Rule indicates that the filing of the MNT acts as a certificate from the lawyer who files the motion that he/she has requested that the transcript be prepared.  The Rule also gives the court the ability to discipline an attorney who does not pay for the transcript preparation.</w:t>
      </w:r>
    </w:p>
    <w:p w14:paraId="0ACF7D9A" w14:textId="29A7840B" w:rsidR="00603B24" w:rsidRDefault="00603B24" w:rsidP="00603B24">
      <w:pPr>
        <w:pStyle w:val="ListParaNoIndent"/>
        <w:numPr>
          <w:ilvl w:val="0"/>
          <w:numId w:val="0"/>
        </w:numPr>
        <w:spacing w:line="480" w:lineRule="auto"/>
        <w:rPr>
          <w:szCs w:val="28"/>
        </w:rPr>
      </w:pPr>
      <w:r>
        <w:rPr>
          <w:szCs w:val="28"/>
        </w:rPr>
        <w:pict w14:anchorId="429ACB25">
          <v:rect id="_x0000_i1029" style="width:0;height:1.5pt" o:hralign="center" o:hrstd="t" o:hr="t" fillcolor="#a0a0a0" stroked="f"/>
        </w:pict>
      </w:r>
    </w:p>
    <w:p w14:paraId="0EFAF53A" w14:textId="3E5D7ACC" w:rsidR="009578B7" w:rsidRPr="009578B7" w:rsidRDefault="009578B7" w:rsidP="009578B7">
      <w:pPr>
        <w:pStyle w:val="ListParaNoIndent"/>
        <w:numPr>
          <w:ilvl w:val="0"/>
          <w:numId w:val="0"/>
        </w:numPr>
        <w:spacing w:line="480" w:lineRule="auto"/>
        <w:jc w:val="center"/>
        <w:rPr>
          <w:szCs w:val="28"/>
        </w:rPr>
      </w:pPr>
      <w:r>
        <w:rPr>
          <w:b/>
          <w:bCs/>
          <w:szCs w:val="28"/>
          <w:u w:val="single"/>
        </w:rPr>
        <w:lastRenderedPageBreak/>
        <w:t>BASIC ISSUES IN ALL MNT</w:t>
      </w:r>
    </w:p>
    <w:p w14:paraId="1A8170FE" w14:textId="0FDF9244" w:rsidR="00603B24" w:rsidRPr="00603B24" w:rsidRDefault="00603B24" w:rsidP="00603B24">
      <w:pPr>
        <w:pStyle w:val="ListParaNoIndent"/>
        <w:numPr>
          <w:ilvl w:val="0"/>
          <w:numId w:val="20"/>
        </w:numPr>
        <w:spacing w:line="480" w:lineRule="auto"/>
        <w:rPr>
          <w:szCs w:val="28"/>
          <w:u w:val="single"/>
        </w:rPr>
      </w:pPr>
      <w:r>
        <w:rPr>
          <w:szCs w:val="28"/>
        </w:rPr>
        <w:t>Virtually every MNT includes a couple of basic issues that the court will need to address.</w:t>
      </w:r>
    </w:p>
    <w:p w14:paraId="1B368867" w14:textId="0F2F9FBE" w:rsidR="00603B24" w:rsidRPr="00EF620B" w:rsidRDefault="00603B24" w:rsidP="00603B24">
      <w:pPr>
        <w:pStyle w:val="ListParaNoIndent"/>
        <w:numPr>
          <w:ilvl w:val="1"/>
          <w:numId w:val="20"/>
        </w:numPr>
        <w:spacing w:line="480" w:lineRule="auto"/>
        <w:rPr>
          <w:szCs w:val="28"/>
          <w:u w:val="single"/>
        </w:rPr>
      </w:pPr>
      <w:r w:rsidRPr="00EF620B">
        <w:rPr>
          <w:b/>
          <w:bCs/>
          <w:szCs w:val="28"/>
        </w:rPr>
        <w:t>Sufficiency of the evidence</w:t>
      </w:r>
      <w:r>
        <w:rPr>
          <w:szCs w:val="28"/>
        </w:rPr>
        <w:t xml:space="preserve"> under </w:t>
      </w:r>
      <w:r>
        <w:rPr>
          <w:i/>
          <w:iCs/>
          <w:szCs w:val="28"/>
        </w:rPr>
        <w:t>Jackson v. Virginia</w:t>
      </w:r>
      <w:r>
        <w:rPr>
          <w:szCs w:val="28"/>
        </w:rPr>
        <w:t xml:space="preserve">, 443 U.S. 307 (1979).  Your order will need to include a finding as to whether there was sufficient evidence to support the verdict.  </w:t>
      </w:r>
    </w:p>
    <w:p w14:paraId="310FED2D" w14:textId="0023F462" w:rsidR="00EF620B" w:rsidRPr="00EF620B" w:rsidRDefault="00EF620B" w:rsidP="00EF620B">
      <w:pPr>
        <w:pStyle w:val="ListParaNoIndent"/>
        <w:numPr>
          <w:ilvl w:val="2"/>
          <w:numId w:val="20"/>
        </w:numPr>
        <w:spacing w:line="480" w:lineRule="auto"/>
        <w:rPr>
          <w:szCs w:val="28"/>
          <w:u w:val="single"/>
        </w:rPr>
      </w:pPr>
      <w:r>
        <w:rPr>
          <w:szCs w:val="28"/>
        </w:rPr>
        <w:t>I will occasionally reference some of the facts of the trial in the section of my MNT order which addresses sufficiency of the evidence.  Tain, do you do the same?  How much detail?</w:t>
      </w:r>
    </w:p>
    <w:p w14:paraId="7E631695" w14:textId="42AB3747" w:rsidR="00EF620B" w:rsidRPr="00EF620B" w:rsidRDefault="00EF620B" w:rsidP="00EF620B">
      <w:pPr>
        <w:pStyle w:val="ListParaNoIndent"/>
        <w:numPr>
          <w:ilvl w:val="1"/>
          <w:numId w:val="20"/>
        </w:numPr>
        <w:spacing w:line="480" w:lineRule="auto"/>
        <w:rPr>
          <w:szCs w:val="28"/>
          <w:u w:val="single"/>
        </w:rPr>
      </w:pPr>
      <w:r>
        <w:rPr>
          <w:szCs w:val="28"/>
        </w:rPr>
        <w:t xml:space="preserve">The </w:t>
      </w:r>
      <w:r>
        <w:rPr>
          <w:b/>
          <w:bCs/>
          <w:szCs w:val="28"/>
        </w:rPr>
        <w:t>general grounds or “13</w:t>
      </w:r>
      <w:r w:rsidRPr="00EF620B">
        <w:rPr>
          <w:b/>
          <w:bCs/>
          <w:szCs w:val="28"/>
          <w:vertAlign w:val="superscript"/>
        </w:rPr>
        <w:t>th</w:t>
      </w:r>
      <w:r>
        <w:rPr>
          <w:b/>
          <w:bCs/>
          <w:szCs w:val="28"/>
        </w:rPr>
        <w:t xml:space="preserve"> juror”</w:t>
      </w:r>
      <w:r>
        <w:rPr>
          <w:szCs w:val="28"/>
        </w:rPr>
        <w:t xml:space="preserve"> under §§5-5-20 and 5-5-21.  </w:t>
      </w:r>
      <w:r>
        <w:rPr>
          <w:i/>
          <w:iCs/>
          <w:szCs w:val="28"/>
        </w:rPr>
        <w:t>Jones v. State</w:t>
      </w:r>
      <w:r>
        <w:rPr>
          <w:szCs w:val="28"/>
        </w:rPr>
        <w:t>, 339 Ga. App. 95, 104-105 (2016).</w:t>
      </w:r>
    </w:p>
    <w:p w14:paraId="69A01510" w14:textId="0BA6E24F" w:rsidR="00FB3802" w:rsidRDefault="00EF620B" w:rsidP="00FB3802">
      <w:pPr>
        <w:pStyle w:val="ListParaNoIndent"/>
        <w:numPr>
          <w:ilvl w:val="2"/>
          <w:numId w:val="20"/>
        </w:numPr>
        <w:spacing w:line="480" w:lineRule="auto"/>
        <w:rPr>
          <w:szCs w:val="28"/>
        </w:rPr>
      </w:pPr>
      <w:r w:rsidRPr="00FB3802">
        <w:rPr>
          <w:szCs w:val="28"/>
        </w:rPr>
        <w:t xml:space="preserve">§ 5-5-20 and § 5-5-21 “afford the trial court broad discretion to sit as a thirteenth juror and weigh the evidence on a motion for new trial alleging these general grounds.” </w:t>
      </w:r>
      <w:proofErr w:type="spellStart"/>
      <w:r w:rsidRPr="00FB3802">
        <w:rPr>
          <w:i/>
          <w:szCs w:val="28"/>
        </w:rPr>
        <w:t>Gomillion</w:t>
      </w:r>
      <w:proofErr w:type="spellEnd"/>
      <w:r w:rsidRPr="00FB3802">
        <w:rPr>
          <w:i/>
          <w:szCs w:val="28"/>
        </w:rPr>
        <w:t xml:space="preserve"> v. State</w:t>
      </w:r>
      <w:r w:rsidRPr="00FB3802">
        <w:rPr>
          <w:szCs w:val="28"/>
        </w:rPr>
        <w:t>, 296 Ga. 678, 680 (2015).  Further, the Court</w:t>
      </w:r>
      <w:r w:rsidR="00FB3802" w:rsidRPr="00FB3802">
        <w:rPr>
          <w:szCs w:val="28"/>
        </w:rPr>
        <w:t xml:space="preserve">’s </w:t>
      </w:r>
      <w:r w:rsidRPr="00FB3802">
        <w:rPr>
          <w:szCs w:val="28"/>
        </w:rPr>
        <w:t xml:space="preserve">review of the record requires greater analysis than is encompassed in </w:t>
      </w:r>
      <w:r w:rsidRPr="00FB3802">
        <w:rPr>
          <w:i/>
          <w:szCs w:val="28"/>
        </w:rPr>
        <w:t>Jackson v. Virginia</w:t>
      </w:r>
      <w:r w:rsidRPr="00FB3802">
        <w:rPr>
          <w:szCs w:val="28"/>
        </w:rPr>
        <w:t xml:space="preserve">, 443 U.S. 307 (1979). </w:t>
      </w:r>
      <w:r w:rsidRPr="00FB3802">
        <w:rPr>
          <w:i/>
          <w:szCs w:val="28"/>
        </w:rPr>
        <w:t>Gordon v. State</w:t>
      </w:r>
      <w:r w:rsidRPr="00FB3802">
        <w:rPr>
          <w:szCs w:val="28"/>
        </w:rPr>
        <w:t xml:space="preserve">, 329 Ga. App. 2, 4-5 (2014).  The Court </w:t>
      </w:r>
      <w:r w:rsidR="00FB3802" w:rsidRPr="00FB3802">
        <w:rPr>
          <w:szCs w:val="28"/>
        </w:rPr>
        <w:t>is expected to follow</w:t>
      </w:r>
      <w:r w:rsidRPr="00FB3802">
        <w:rPr>
          <w:szCs w:val="28"/>
        </w:rPr>
        <w:t xml:space="preserve"> the observations of </w:t>
      </w:r>
      <w:r w:rsidRPr="00FB3802">
        <w:rPr>
          <w:i/>
          <w:szCs w:val="28"/>
        </w:rPr>
        <w:t>Walker v. State</w:t>
      </w:r>
      <w:r w:rsidRPr="00FB3802">
        <w:rPr>
          <w:szCs w:val="28"/>
        </w:rPr>
        <w:t xml:space="preserve">, 292 Ga. 262, 264-265 (2013) in weighing the evidence, making a determination of the credibility of the </w:t>
      </w:r>
      <w:r w:rsidRPr="00FB3802">
        <w:rPr>
          <w:szCs w:val="28"/>
        </w:rPr>
        <w:lastRenderedPageBreak/>
        <w:t>witnesses and reviewing the case to determine if the verdict is contrary to the evidence, is contrary to the principles of justice and equity or if the verdict was decidedly and strongly against the weight of the evidence.</w:t>
      </w:r>
      <w:r w:rsidR="00460A2A">
        <w:rPr>
          <w:szCs w:val="28"/>
        </w:rPr>
        <w:t xml:space="preserve">  See </w:t>
      </w:r>
      <w:r w:rsidR="00460A2A" w:rsidRPr="00460A2A">
        <w:rPr>
          <w:i/>
          <w:szCs w:val="28"/>
        </w:rPr>
        <w:t>Hargrave v. State</w:t>
      </w:r>
      <w:r w:rsidR="00460A2A" w:rsidRPr="00460A2A">
        <w:rPr>
          <w:szCs w:val="28"/>
        </w:rPr>
        <w:t>, 311 Ga. App. 852, 855 (2011).</w:t>
      </w:r>
    </w:p>
    <w:p w14:paraId="6B7868E3" w14:textId="3DAB8098" w:rsidR="00FB3802" w:rsidRDefault="00FB3802" w:rsidP="00FB3802">
      <w:pPr>
        <w:pStyle w:val="ListParaNoIndent"/>
        <w:numPr>
          <w:ilvl w:val="3"/>
          <w:numId w:val="20"/>
        </w:numPr>
        <w:spacing w:line="480" w:lineRule="auto"/>
        <w:rPr>
          <w:szCs w:val="28"/>
        </w:rPr>
      </w:pPr>
      <w:r>
        <w:rPr>
          <w:szCs w:val="28"/>
        </w:rPr>
        <w:t>I recently learned that the court is expected to perform a 13</w:t>
      </w:r>
      <w:r w:rsidRPr="00FB3802">
        <w:rPr>
          <w:szCs w:val="28"/>
          <w:vertAlign w:val="superscript"/>
        </w:rPr>
        <w:t>th</w:t>
      </w:r>
      <w:r>
        <w:rPr>
          <w:szCs w:val="28"/>
        </w:rPr>
        <w:t xml:space="preserve"> juror analysis, even in a bench trial.  </w:t>
      </w:r>
      <w:r>
        <w:rPr>
          <w:i/>
          <w:iCs/>
          <w:szCs w:val="28"/>
        </w:rPr>
        <w:t>Kea v. State</w:t>
      </w:r>
      <w:r>
        <w:rPr>
          <w:szCs w:val="28"/>
        </w:rPr>
        <w:t>, 344 Ga. App. 251, 253 (2018).  This is the area where I need to be quiet as the case remains on appeal.</w:t>
      </w:r>
    </w:p>
    <w:p w14:paraId="5830C731" w14:textId="541C5B7B" w:rsidR="00460A2A" w:rsidRDefault="00925ADE" w:rsidP="00460A2A">
      <w:pPr>
        <w:pStyle w:val="ListParaNoIndent"/>
        <w:numPr>
          <w:ilvl w:val="2"/>
          <w:numId w:val="20"/>
        </w:numPr>
        <w:spacing w:line="480" w:lineRule="auto"/>
        <w:rPr>
          <w:szCs w:val="28"/>
        </w:rPr>
      </w:pPr>
      <w:r>
        <w:rPr>
          <w:szCs w:val="28"/>
        </w:rPr>
        <w:t>Failure to conduct a separate analysis under the “general grounds” or as the “13</w:t>
      </w:r>
      <w:r w:rsidRPr="00925ADE">
        <w:rPr>
          <w:szCs w:val="28"/>
          <w:vertAlign w:val="superscript"/>
        </w:rPr>
        <w:t>th</w:t>
      </w:r>
      <w:r>
        <w:rPr>
          <w:szCs w:val="28"/>
        </w:rPr>
        <w:t xml:space="preserve"> juror” will result in the case being remanded for the court to conduct the required review.  </w:t>
      </w:r>
      <w:r>
        <w:rPr>
          <w:i/>
          <w:iCs/>
          <w:szCs w:val="28"/>
        </w:rPr>
        <w:t>Walker v. State</w:t>
      </w:r>
      <w:r>
        <w:rPr>
          <w:szCs w:val="28"/>
        </w:rPr>
        <w:t>, 292 Ga. 262, 264-265 (2013).</w:t>
      </w:r>
    </w:p>
    <w:p w14:paraId="5EEE6A1A" w14:textId="05A36B1B" w:rsidR="00460A2A" w:rsidRDefault="00460A2A" w:rsidP="00460A2A">
      <w:pPr>
        <w:pStyle w:val="ListParaNoIndent"/>
        <w:numPr>
          <w:ilvl w:val="0"/>
          <w:numId w:val="20"/>
        </w:numPr>
        <w:spacing w:line="480" w:lineRule="auto"/>
        <w:rPr>
          <w:szCs w:val="28"/>
        </w:rPr>
      </w:pPr>
      <w:r>
        <w:rPr>
          <w:szCs w:val="28"/>
        </w:rPr>
        <w:t>After ruling on the sufficiency of the evidence (</w:t>
      </w:r>
      <w:r>
        <w:rPr>
          <w:i/>
          <w:iCs/>
          <w:szCs w:val="28"/>
        </w:rPr>
        <w:t>Jackson v. Virginia</w:t>
      </w:r>
      <w:r>
        <w:rPr>
          <w:szCs w:val="28"/>
        </w:rPr>
        <w:t>) and the general grounds or 13</w:t>
      </w:r>
      <w:r w:rsidRPr="00460A2A">
        <w:rPr>
          <w:szCs w:val="28"/>
          <w:vertAlign w:val="superscript"/>
        </w:rPr>
        <w:t>th</w:t>
      </w:r>
      <w:r>
        <w:rPr>
          <w:szCs w:val="28"/>
        </w:rPr>
        <w:t xml:space="preserve"> juror analysis, I then turn to the specific factual or legal issues that were raised in the MNT.</w:t>
      </w:r>
    </w:p>
    <w:p w14:paraId="6950AE64" w14:textId="75CF5C2D" w:rsidR="00460A2A" w:rsidRDefault="00460A2A" w:rsidP="00460A2A">
      <w:pPr>
        <w:pStyle w:val="ListParaNoIndent"/>
        <w:numPr>
          <w:ilvl w:val="1"/>
          <w:numId w:val="20"/>
        </w:numPr>
        <w:spacing w:line="480" w:lineRule="auto"/>
        <w:rPr>
          <w:szCs w:val="28"/>
        </w:rPr>
      </w:pPr>
      <w:r>
        <w:rPr>
          <w:szCs w:val="28"/>
        </w:rPr>
        <w:t>Tain, do you organize your orders in that same manner?</w:t>
      </w:r>
    </w:p>
    <w:p w14:paraId="2F100E3A" w14:textId="152EC73D" w:rsidR="00460A2A" w:rsidRDefault="00460A2A" w:rsidP="00460A2A">
      <w:pPr>
        <w:pStyle w:val="ListParaNoIndent"/>
        <w:numPr>
          <w:ilvl w:val="0"/>
          <w:numId w:val="0"/>
        </w:numPr>
        <w:spacing w:line="480" w:lineRule="auto"/>
        <w:rPr>
          <w:szCs w:val="28"/>
        </w:rPr>
      </w:pPr>
      <w:r>
        <w:rPr>
          <w:szCs w:val="28"/>
        </w:rPr>
        <w:pict w14:anchorId="534B589B">
          <v:rect id="_x0000_i1031" style="width:0;height:1.5pt" o:hralign="center" o:hrstd="t" o:hr="t" fillcolor="#a0a0a0" stroked="f"/>
        </w:pict>
      </w:r>
    </w:p>
    <w:p w14:paraId="3E9E32D2" w14:textId="77777777" w:rsidR="006C4671" w:rsidRDefault="006C4671" w:rsidP="00460A2A">
      <w:pPr>
        <w:pStyle w:val="ListParaNoIndent"/>
        <w:numPr>
          <w:ilvl w:val="0"/>
          <w:numId w:val="0"/>
        </w:numPr>
        <w:spacing w:line="480" w:lineRule="auto"/>
        <w:rPr>
          <w:szCs w:val="28"/>
        </w:rPr>
      </w:pPr>
    </w:p>
    <w:p w14:paraId="58C72119" w14:textId="414EF01E" w:rsidR="00460A2A" w:rsidRDefault="00460A2A" w:rsidP="00460A2A">
      <w:pPr>
        <w:pStyle w:val="ListParaNoIndent"/>
        <w:numPr>
          <w:ilvl w:val="0"/>
          <w:numId w:val="0"/>
        </w:numPr>
        <w:spacing w:line="480" w:lineRule="auto"/>
        <w:jc w:val="center"/>
        <w:rPr>
          <w:szCs w:val="28"/>
        </w:rPr>
      </w:pPr>
      <w:r>
        <w:rPr>
          <w:b/>
          <w:bCs/>
          <w:szCs w:val="28"/>
          <w:u w:val="single"/>
        </w:rPr>
        <w:lastRenderedPageBreak/>
        <w:t>INEFFECTIVE ASSISTANCE OF COUNSEL</w:t>
      </w:r>
    </w:p>
    <w:p w14:paraId="0C5E981A" w14:textId="5393DE95" w:rsidR="00460A2A" w:rsidRDefault="00E467CF" w:rsidP="00E467CF">
      <w:pPr>
        <w:pStyle w:val="ListParaNoIndent"/>
        <w:numPr>
          <w:ilvl w:val="0"/>
          <w:numId w:val="20"/>
        </w:numPr>
        <w:spacing w:line="480" w:lineRule="auto"/>
        <w:rPr>
          <w:szCs w:val="28"/>
        </w:rPr>
      </w:pPr>
      <w:r>
        <w:rPr>
          <w:szCs w:val="28"/>
        </w:rPr>
        <w:t xml:space="preserve">A claim for ineffective assistance of counsel requires a finding by the court that trial counsel’s performance was deficient </w:t>
      </w:r>
      <w:r>
        <w:rPr>
          <w:b/>
          <w:bCs/>
          <w:i/>
          <w:iCs/>
          <w:szCs w:val="28"/>
        </w:rPr>
        <w:t>and</w:t>
      </w:r>
      <w:r>
        <w:rPr>
          <w:szCs w:val="28"/>
        </w:rPr>
        <w:t xml:space="preserve"> that such deficiency substantially prejudiced the defense.  </w:t>
      </w:r>
      <w:r w:rsidRPr="00E467CF">
        <w:rPr>
          <w:i/>
          <w:szCs w:val="28"/>
        </w:rPr>
        <w:t>Strickland v. Washington</w:t>
      </w:r>
      <w:r w:rsidRPr="00E467CF">
        <w:rPr>
          <w:szCs w:val="28"/>
        </w:rPr>
        <w:t>, 466 U.S. 668 (1984).</w:t>
      </w:r>
    </w:p>
    <w:p w14:paraId="6ACECF52" w14:textId="69D17240" w:rsidR="00E467CF" w:rsidRDefault="00E467CF" w:rsidP="00E467CF">
      <w:pPr>
        <w:pStyle w:val="ListParaNoIndent"/>
        <w:numPr>
          <w:ilvl w:val="1"/>
          <w:numId w:val="20"/>
        </w:numPr>
        <w:spacing w:line="480" w:lineRule="auto"/>
        <w:rPr>
          <w:szCs w:val="28"/>
        </w:rPr>
      </w:pPr>
      <w:r w:rsidRPr="00E467CF">
        <w:rPr>
          <w:szCs w:val="28"/>
        </w:rPr>
        <w:t>The prejudice that must be shown by the defendant, however, is a prejudice that rises to the level that but for such error by trial counsel, there would have been a different result at the trial.</w:t>
      </w:r>
      <w:r>
        <w:rPr>
          <w:szCs w:val="28"/>
        </w:rPr>
        <w:t xml:space="preserve">  </w:t>
      </w:r>
      <w:r>
        <w:rPr>
          <w:i/>
          <w:iCs/>
          <w:szCs w:val="28"/>
        </w:rPr>
        <w:t>Strickland</w:t>
      </w:r>
      <w:r>
        <w:rPr>
          <w:szCs w:val="28"/>
        </w:rPr>
        <w:t>, at 691-696.</w:t>
      </w:r>
    </w:p>
    <w:p w14:paraId="2318FD2F" w14:textId="6F8475AA" w:rsidR="00E467CF" w:rsidRDefault="00E467CF" w:rsidP="00E467CF">
      <w:pPr>
        <w:pStyle w:val="ListParaNoIndent"/>
        <w:numPr>
          <w:ilvl w:val="1"/>
          <w:numId w:val="20"/>
        </w:numPr>
        <w:spacing w:line="480" w:lineRule="auto"/>
        <w:rPr>
          <w:szCs w:val="28"/>
        </w:rPr>
      </w:pPr>
      <w:r w:rsidRPr="00E467CF">
        <w:rPr>
          <w:szCs w:val="28"/>
        </w:rPr>
        <w:t xml:space="preserve">Counsel’s errors must be so serious that they deprive the defendant of a fair trial.  </w:t>
      </w:r>
      <w:r w:rsidRPr="00E467CF">
        <w:rPr>
          <w:i/>
          <w:szCs w:val="28"/>
        </w:rPr>
        <w:t xml:space="preserve">See Lockhart v. </w:t>
      </w:r>
      <w:proofErr w:type="spellStart"/>
      <w:r w:rsidRPr="00E467CF">
        <w:rPr>
          <w:i/>
          <w:szCs w:val="28"/>
        </w:rPr>
        <w:t>Fretwell</w:t>
      </w:r>
      <w:proofErr w:type="spellEnd"/>
      <w:r w:rsidRPr="00E467CF">
        <w:rPr>
          <w:szCs w:val="28"/>
        </w:rPr>
        <w:t xml:space="preserve">, 506 U.S. 364 (1993).  This requires showing that counsel made errors so serious that counsel was not functioning as the “counsel” guaranteed to the defendant by the Sixth Amendment.  Anything short of such a showing is not ineffective assistance of counsel sufficient to warrant a new trial.  </w:t>
      </w:r>
      <w:r w:rsidRPr="00E467CF">
        <w:rPr>
          <w:i/>
          <w:szCs w:val="28"/>
        </w:rPr>
        <w:t>See Goodwin v. Cruz-</w:t>
      </w:r>
      <w:proofErr w:type="spellStart"/>
      <w:r w:rsidRPr="00E467CF">
        <w:rPr>
          <w:i/>
          <w:szCs w:val="28"/>
        </w:rPr>
        <w:t>Padillo</w:t>
      </w:r>
      <w:proofErr w:type="spellEnd"/>
      <w:r w:rsidRPr="00E467CF">
        <w:rPr>
          <w:szCs w:val="28"/>
        </w:rPr>
        <w:t>, 265 Ga. 614 (1995).</w:t>
      </w:r>
    </w:p>
    <w:p w14:paraId="47A2EDC6" w14:textId="1401D9A5" w:rsidR="007756DA" w:rsidRDefault="007756DA" w:rsidP="00E467CF">
      <w:pPr>
        <w:pStyle w:val="ListParaNoIndent"/>
        <w:numPr>
          <w:ilvl w:val="1"/>
          <w:numId w:val="20"/>
        </w:numPr>
        <w:spacing w:line="480" w:lineRule="auto"/>
        <w:rPr>
          <w:szCs w:val="28"/>
        </w:rPr>
      </w:pPr>
      <w:r w:rsidRPr="007756DA">
        <w:rPr>
          <w:szCs w:val="28"/>
        </w:rPr>
        <w:t xml:space="preserve">The Court must analyze any claimed deficiency in counsel’s performance from counsel’s perspective at the time of trial, as opposed to trial by hindsight.  </w:t>
      </w:r>
      <w:r w:rsidRPr="007756DA">
        <w:rPr>
          <w:i/>
          <w:szCs w:val="28"/>
        </w:rPr>
        <w:t>Grier v. State</w:t>
      </w:r>
      <w:r w:rsidRPr="007756DA">
        <w:rPr>
          <w:szCs w:val="28"/>
        </w:rPr>
        <w:t xml:space="preserve">, 273 Ga. 363 (2001); </w:t>
      </w:r>
      <w:r w:rsidRPr="007756DA">
        <w:rPr>
          <w:i/>
          <w:szCs w:val="28"/>
        </w:rPr>
        <w:t>Belton v. State</w:t>
      </w:r>
      <w:r w:rsidRPr="007756DA">
        <w:rPr>
          <w:szCs w:val="28"/>
        </w:rPr>
        <w:t xml:space="preserve">, 270 Ga. 671 (1998).  The Court must “indulge a strong presumption that counsel’s conduct falls within a wide range of reasonable professional assistance.”  </w:t>
      </w:r>
      <w:r w:rsidRPr="007756DA">
        <w:rPr>
          <w:i/>
          <w:szCs w:val="28"/>
        </w:rPr>
        <w:t>Strickland</w:t>
      </w:r>
      <w:r w:rsidRPr="007756DA">
        <w:rPr>
          <w:szCs w:val="28"/>
        </w:rPr>
        <w:t xml:space="preserve">, 466 U.S. at 689. “Trial tactics and strategy, no matter how </w:t>
      </w:r>
      <w:r w:rsidRPr="007756DA">
        <w:rPr>
          <w:szCs w:val="28"/>
        </w:rPr>
        <w:lastRenderedPageBreak/>
        <w:t xml:space="preserve">mistaken in hindsight, are almost never adequate grounds for finding trial counsel ineffective unless they are so patently unreasonable that no competent attorney would have chosen them.” </w:t>
      </w:r>
      <w:r w:rsidRPr="007756DA">
        <w:rPr>
          <w:i/>
          <w:szCs w:val="28"/>
        </w:rPr>
        <w:t>Gray v. State</w:t>
      </w:r>
      <w:r w:rsidRPr="007756DA">
        <w:rPr>
          <w:szCs w:val="28"/>
        </w:rPr>
        <w:t xml:space="preserve">, 291 </w:t>
      </w:r>
      <w:proofErr w:type="spellStart"/>
      <w:r w:rsidRPr="007756DA">
        <w:rPr>
          <w:szCs w:val="28"/>
        </w:rPr>
        <w:t>Ga.App</w:t>
      </w:r>
      <w:proofErr w:type="spellEnd"/>
      <w:r w:rsidRPr="007756DA">
        <w:rPr>
          <w:szCs w:val="28"/>
        </w:rPr>
        <w:t xml:space="preserve">. 573 (2008). These presumptions must be overcome by clear and convincing evidence if the defendant is to prevail on a claim of ineffective assistance.  </w:t>
      </w:r>
      <w:r w:rsidRPr="007756DA">
        <w:rPr>
          <w:i/>
          <w:szCs w:val="28"/>
        </w:rPr>
        <w:t>See Flanigan v. State</w:t>
      </w:r>
      <w:r w:rsidRPr="007756DA">
        <w:rPr>
          <w:szCs w:val="28"/>
        </w:rPr>
        <w:t>, 269 Ga. 160 (1998).</w:t>
      </w:r>
    </w:p>
    <w:p w14:paraId="334D6DA2" w14:textId="406FDBB6" w:rsidR="00E467CF" w:rsidRDefault="00E467CF" w:rsidP="007756DA">
      <w:pPr>
        <w:pStyle w:val="ListParaNoIndent"/>
        <w:numPr>
          <w:ilvl w:val="0"/>
          <w:numId w:val="20"/>
        </w:numPr>
        <w:spacing w:line="480" w:lineRule="auto"/>
        <w:rPr>
          <w:szCs w:val="28"/>
        </w:rPr>
      </w:pPr>
      <w:r>
        <w:rPr>
          <w:szCs w:val="28"/>
        </w:rPr>
        <w:t>Obviously, an Ineffective Assistance claim will be fact-dependent on what went on during the trial.</w:t>
      </w:r>
    </w:p>
    <w:p w14:paraId="1E4CA18C" w14:textId="09810902" w:rsidR="007756DA" w:rsidRDefault="007756DA" w:rsidP="007756DA">
      <w:pPr>
        <w:pStyle w:val="ListParaNoIndent"/>
        <w:numPr>
          <w:ilvl w:val="0"/>
          <w:numId w:val="20"/>
        </w:numPr>
        <w:spacing w:line="480" w:lineRule="auto"/>
        <w:rPr>
          <w:szCs w:val="28"/>
        </w:rPr>
      </w:pPr>
      <w:r>
        <w:rPr>
          <w:szCs w:val="28"/>
        </w:rPr>
        <w:t xml:space="preserve">And issues of </w:t>
      </w:r>
      <w:bookmarkStart w:id="0" w:name="_GoBack"/>
      <w:r w:rsidRPr="00A034E6">
        <w:rPr>
          <w:b/>
          <w:bCs/>
          <w:szCs w:val="28"/>
        </w:rPr>
        <w:t>trial strategy</w:t>
      </w:r>
      <w:bookmarkEnd w:id="0"/>
      <w:r>
        <w:rPr>
          <w:szCs w:val="28"/>
        </w:rPr>
        <w:t xml:space="preserve"> are not generally the types of issues that would result in a finding of ineffective assistance.</w:t>
      </w:r>
    </w:p>
    <w:p w14:paraId="36433BEA" w14:textId="7B75EF7D" w:rsidR="005C045D" w:rsidRDefault="005C045D" w:rsidP="005C045D">
      <w:pPr>
        <w:pStyle w:val="ListParaNoIndent"/>
        <w:numPr>
          <w:ilvl w:val="1"/>
          <w:numId w:val="20"/>
        </w:numPr>
        <w:spacing w:line="480" w:lineRule="auto"/>
        <w:rPr>
          <w:szCs w:val="28"/>
        </w:rPr>
      </w:pPr>
      <w:r>
        <w:rPr>
          <w:szCs w:val="28"/>
        </w:rPr>
        <w:t xml:space="preserve">“Failure to make a meritless objection cannot sustain a claim of ineffective assistance of counsel.”  </w:t>
      </w:r>
      <w:r>
        <w:rPr>
          <w:i/>
          <w:iCs/>
          <w:szCs w:val="28"/>
        </w:rPr>
        <w:t>McAllister v. State</w:t>
      </w:r>
      <w:r>
        <w:rPr>
          <w:szCs w:val="28"/>
        </w:rPr>
        <w:t>, 2019</w:t>
      </w:r>
      <w:r w:rsidR="00E37225">
        <w:rPr>
          <w:szCs w:val="28"/>
        </w:rPr>
        <w:t xml:space="preserve"> </w:t>
      </w:r>
      <w:r>
        <w:rPr>
          <w:szCs w:val="28"/>
        </w:rPr>
        <w:t>WL</w:t>
      </w:r>
      <w:r w:rsidR="00E37225">
        <w:rPr>
          <w:szCs w:val="28"/>
        </w:rPr>
        <w:t xml:space="preserve"> </w:t>
      </w:r>
      <w:r>
        <w:rPr>
          <w:szCs w:val="28"/>
        </w:rPr>
        <w:t xml:space="preserve">2619357, A19A0613 (Ga. App. </w:t>
      </w:r>
      <w:r w:rsidR="009E6BAA">
        <w:rPr>
          <w:szCs w:val="28"/>
        </w:rPr>
        <w:t>6/5/2019)</w:t>
      </w:r>
      <w:r w:rsidR="00BF3FC4">
        <w:rPr>
          <w:szCs w:val="28"/>
        </w:rPr>
        <w:t>;</w:t>
      </w:r>
    </w:p>
    <w:p w14:paraId="3CCD8C8E" w14:textId="254AB413" w:rsidR="009E6BAA" w:rsidRDefault="009E6BAA" w:rsidP="005C045D">
      <w:pPr>
        <w:pStyle w:val="ListParaNoIndent"/>
        <w:numPr>
          <w:ilvl w:val="1"/>
          <w:numId w:val="20"/>
        </w:numPr>
        <w:spacing w:line="480" w:lineRule="auto"/>
        <w:rPr>
          <w:szCs w:val="28"/>
        </w:rPr>
      </w:pPr>
      <w:r>
        <w:rPr>
          <w:szCs w:val="28"/>
        </w:rPr>
        <w:t xml:space="preserve">Deciding which jury charges to request is a matter of trial strategy and cannot support a finding of ineffective assistance unless that strategy was patently unreasonable.  </w:t>
      </w:r>
      <w:r>
        <w:rPr>
          <w:i/>
          <w:iCs/>
          <w:szCs w:val="28"/>
        </w:rPr>
        <w:t>Bannister v. State</w:t>
      </w:r>
      <w:r>
        <w:rPr>
          <w:szCs w:val="28"/>
        </w:rPr>
        <w:t xml:space="preserve">, </w:t>
      </w:r>
      <w:r w:rsidR="00BF3FC4">
        <w:rPr>
          <w:szCs w:val="28"/>
        </w:rPr>
        <w:t>2019</w:t>
      </w:r>
      <w:r w:rsidR="00E37225">
        <w:rPr>
          <w:szCs w:val="28"/>
        </w:rPr>
        <w:t xml:space="preserve"> </w:t>
      </w:r>
      <w:r w:rsidR="00BF3FC4">
        <w:rPr>
          <w:szCs w:val="28"/>
        </w:rPr>
        <w:t>WL</w:t>
      </w:r>
      <w:r w:rsidR="00E37225">
        <w:rPr>
          <w:szCs w:val="28"/>
        </w:rPr>
        <w:t xml:space="preserve"> </w:t>
      </w:r>
      <w:r w:rsidR="00BF3FC4">
        <w:rPr>
          <w:szCs w:val="28"/>
        </w:rPr>
        <w:t>2570966, S19A0418 (Ga. 6.24.2019);</w:t>
      </w:r>
    </w:p>
    <w:p w14:paraId="45CC17E6" w14:textId="3BA288A3" w:rsidR="00BF3FC4" w:rsidRDefault="00BF3FC4" w:rsidP="005C045D">
      <w:pPr>
        <w:pStyle w:val="ListParaNoIndent"/>
        <w:numPr>
          <w:ilvl w:val="1"/>
          <w:numId w:val="20"/>
        </w:numPr>
        <w:spacing w:line="480" w:lineRule="auto"/>
        <w:rPr>
          <w:szCs w:val="28"/>
        </w:rPr>
      </w:pPr>
      <w:r>
        <w:rPr>
          <w:szCs w:val="28"/>
        </w:rPr>
        <w:t xml:space="preserve">The decision as to which defense witnesses to call </w:t>
      </w:r>
      <w:r w:rsidR="00E37225">
        <w:rPr>
          <w:szCs w:val="28"/>
        </w:rPr>
        <w:t>or what questions to ask on cross-examination are</w:t>
      </w:r>
      <w:r>
        <w:rPr>
          <w:szCs w:val="28"/>
        </w:rPr>
        <w:t xml:space="preserve"> matter</w:t>
      </w:r>
      <w:r w:rsidR="00E37225">
        <w:rPr>
          <w:szCs w:val="28"/>
        </w:rPr>
        <w:t>s</w:t>
      </w:r>
      <w:r>
        <w:rPr>
          <w:szCs w:val="28"/>
        </w:rPr>
        <w:t xml:space="preserve"> of trial strategy and tactics; tactical errors </w:t>
      </w:r>
      <w:r>
        <w:rPr>
          <w:szCs w:val="28"/>
        </w:rPr>
        <w:lastRenderedPageBreak/>
        <w:t xml:space="preserve">in that regard will not constitute ineffective assistance of counsel </w:t>
      </w:r>
      <w:r w:rsidRPr="00E37225">
        <w:rPr>
          <w:b/>
          <w:bCs/>
          <w:szCs w:val="28"/>
        </w:rPr>
        <w:t>unless no competent attorney would have made the same choice under the circumstances</w:t>
      </w:r>
      <w:r w:rsidR="001336A7">
        <w:rPr>
          <w:szCs w:val="28"/>
        </w:rPr>
        <w:t xml:space="preserve">. </w:t>
      </w:r>
      <w:r w:rsidR="001336A7">
        <w:rPr>
          <w:i/>
          <w:iCs/>
          <w:szCs w:val="28"/>
        </w:rPr>
        <w:t>Patterson v. State</w:t>
      </w:r>
      <w:r w:rsidR="001336A7">
        <w:rPr>
          <w:szCs w:val="28"/>
        </w:rPr>
        <w:t>, 2019</w:t>
      </w:r>
      <w:r w:rsidR="00E37225">
        <w:rPr>
          <w:szCs w:val="28"/>
        </w:rPr>
        <w:t xml:space="preserve"> </w:t>
      </w:r>
      <w:r w:rsidR="001336A7">
        <w:rPr>
          <w:szCs w:val="28"/>
        </w:rPr>
        <w:t>WL</w:t>
      </w:r>
      <w:r w:rsidR="00E37225">
        <w:rPr>
          <w:szCs w:val="28"/>
        </w:rPr>
        <w:t xml:space="preserve"> </w:t>
      </w:r>
      <w:r w:rsidR="001336A7">
        <w:rPr>
          <w:szCs w:val="28"/>
        </w:rPr>
        <w:t>2510830, A19A0085 (Ga. App. 6/18/2019);</w:t>
      </w:r>
      <w:r w:rsidR="00E37225">
        <w:rPr>
          <w:szCs w:val="28"/>
        </w:rPr>
        <w:t xml:space="preserve"> </w:t>
      </w:r>
      <w:r w:rsidR="00E37225">
        <w:rPr>
          <w:i/>
          <w:iCs/>
          <w:szCs w:val="28"/>
        </w:rPr>
        <w:t>Davis v. State</w:t>
      </w:r>
      <w:r w:rsidR="00E37225">
        <w:rPr>
          <w:szCs w:val="28"/>
        </w:rPr>
        <w:t>, 2019 WL 2413425, S19A0164 (GA. 6/10/2019).</w:t>
      </w:r>
    </w:p>
    <w:p w14:paraId="387C9721" w14:textId="40868F67" w:rsidR="001336A7" w:rsidRDefault="001336A7" w:rsidP="005C045D">
      <w:pPr>
        <w:pStyle w:val="ListParaNoIndent"/>
        <w:numPr>
          <w:ilvl w:val="1"/>
          <w:numId w:val="20"/>
        </w:numPr>
        <w:spacing w:line="480" w:lineRule="auto"/>
        <w:rPr>
          <w:szCs w:val="28"/>
        </w:rPr>
      </w:pPr>
      <w:r>
        <w:rPr>
          <w:szCs w:val="28"/>
        </w:rPr>
        <w:t xml:space="preserve">Electing to forego an objection during the state’s closing argument is not ineffective. </w:t>
      </w:r>
      <w:r>
        <w:rPr>
          <w:i/>
          <w:iCs/>
          <w:szCs w:val="28"/>
        </w:rPr>
        <w:t>Anderson v. State</w:t>
      </w:r>
      <w:r>
        <w:rPr>
          <w:szCs w:val="28"/>
        </w:rPr>
        <w:t>, 2019</w:t>
      </w:r>
      <w:r w:rsidR="00E37225">
        <w:rPr>
          <w:szCs w:val="28"/>
        </w:rPr>
        <w:t xml:space="preserve"> </w:t>
      </w:r>
      <w:r>
        <w:rPr>
          <w:szCs w:val="28"/>
        </w:rPr>
        <w:t>WL</w:t>
      </w:r>
      <w:r w:rsidR="00E37225">
        <w:rPr>
          <w:szCs w:val="28"/>
        </w:rPr>
        <w:t xml:space="preserve"> </w:t>
      </w:r>
      <w:r>
        <w:rPr>
          <w:szCs w:val="28"/>
        </w:rPr>
        <w:t>2427974, A19A0118 (Ga. App. 6/11/2019)</w:t>
      </w:r>
    </w:p>
    <w:p w14:paraId="05384062" w14:textId="3091BAD7" w:rsidR="008239A5" w:rsidRDefault="008239A5" w:rsidP="008239A5">
      <w:pPr>
        <w:pStyle w:val="ListParaNoIndent"/>
        <w:numPr>
          <w:ilvl w:val="0"/>
          <w:numId w:val="20"/>
        </w:numPr>
        <w:spacing w:line="480" w:lineRule="auto"/>
        <w:rPr>
          <w:szCs w:val="28"/>
        </w:rPr>
      </w:pPr>
      <w:r>
        <w:rPr>
          <w:szCs w:val="28"/>
        </w:rPr>
        <w:t>In short, when addressing an issue of ineffective assistance, the judge should look at the thought processes of trial counsel, as made clear during the time that trial counsel is on the stand during the MNT hearing.  The judge should decide whether the alleged error falls within that wide range of decisions that fall within the umbrella of “tactical decisions” and, if so, deny the motion.</w:t>
      </w:r>
    </w:p>
    <w:p w14:paraId="61B985AC" w14:textId="456740D3" w:rsidR="008239A5" w:rsidRDefault="008239A5" w:rsidP="008239A5">
      <w:pPr>
        <w:pStyle w:val="ListParaNoIndent"/>
        <w:numPr>
          <w:ilvl w:val="1"/>
          <w:numId w:val="20"/>
        </w:numPr>
        <w:spacing w:line="480" w:lineRule="auto"/>
        <w:rPr>
          <w:szCs w:val="28"/>
        </w:rPr>
      </w:pPr>
      <w:r>
        <w:rPr>
          <w:szCs w:val="28"/>
        </w:rPr>
        <w:t xml:space="preserve">However, if the error/decision was one that no competent attorney would have made AND the outcome of the trial would have been different had that decision/error not been made, the court should look closely at the claim.  If, upon reflection, the court is convinced that the </w:t>
      </w:r>
      <w:r>
        <w:rPr>
          <w:i/>
          <w:iCs/>
          <w:szCs w:val="28"/>
        </w:rPr>
        <w:t>Strickland</w:t>
      </w:r>
      <w:r>
        <w:rPr>
          <w:szCs w:val="28"/>
        </w:rPr>
        <w:t xml:space="preserve"> standard has been met, the court should grant the motion for new trial based upon ineffective assistance of counsel</w:t>
      </w:r>
    </w:p>
    <w:p w14:paraId="252EBC3D" w14:textId="6E415CF6" w:rsidR="008239A5" w:rsidRPr="00460A2A" w:rsidRDefault="008239A5" w:rsidP="008239A5">
      <w:pPr>
        <w:pStyle w:val="ListParaNoIndent"/>
        <w:numPr>
          <w:ilvl w:val="0"/>
          <w:numId w:val="0"/>
        </w:numPr>
        <w:spacing w:line="480" w:lineRule="auto"/>
        <w:rPr>
          <w:szCs w:val="28"/>
        </w:rPr>
      </w:pPr>
      <w:r>
        <w:rPr>
          <w:szCs w:val="28"/>
        </w:rPr>
        <w:pict w14:anchorId="0A475981">
          <v:rect id="_x0000_i1033" style="width:0;height:1.5pt" o:hralign="center" o:hrstd="t" o:hr="t" fillcolor="#a0a0a0" stroked="f"/>
        </w:pict>
      </w:r>
    </w:p>
    <w:p w14:paraId="3761B6F1" w14:textId="7A7DE3FE" w:rsidR="00635901" w:rsidRDefault="009578B7" w:rsidP="009578B7">
      <w:pPr>
        <w:pStyle w:val="ListParaNoIndent"/>
        <w:numPr>
          <w:ilvl w:val="0"/>
          <w:numId w:val="0"/>
        </w:numPr>
        <w:spacing w:line="480" w:lineRule="auto"/>
        <w:jc w:val="center"/>
        <w:rPr>
          <w:szCs w:val="28"/>
        </w:rPr>
      </w:pPr>
      <w:r>
        <w:rPr>
          <w:b/>
          <w:bCs/>
          <w:szCs w:val="28"/>
          <w:u w:val="single"/>
        </w:rPr>
        <w:lastRenderedPageBreak/>
        <w:t>ADDRESSING THE “CASE-SPECIFIC” ISSUES RAISED</w:t>
      </w:r>
    </w:p>
    <w:p w14:paraId="4AA07D49" w14:textId="07E05F91" w:rsidR="009578B7" w:rsidRDefault="009578B7" w:rsidP="009578B7">
      <w:pPr>
        <w:pStyle w:val="ListParaNoIndent"/>
        <w:numPr>
          <w:ilvl w:val="0"/>
          <w:numId w:val="20"/>
        </w:numPr>
        <w:spacing w:line="480" w:lineRule="auto"/>
        <w:rPr>
          <w:szCs w:val="28"/>
        </w:rPr>
      </w:pPr>
      <w:r>
        <w:rPr>
          <w:szCs w:val="28"/>
        </w:rPr>
        <w:t xml:space="preserve">It would be impossible for us to predict </w:t>
      </w:r>
      <w:r w:rsidR="00D2287D">
        <w:rPr>
          <w:szCs w:val="28"/>
        </w:rPr>
        <w:t>other issues that might arise in the context of a MNT.</w:t>
      </w:r>
    </w:p>
    <w:p w14:paraId="45BEEA1C" w14:textId="315B8F45" w:rsidR="00D2287D" w:rsidRDefault="00D2287D" w:rsidP="009578B7">
      <w:pPr>
        <w:pStyle w:val="ListParaNoIndent"/>
        <w:numPr>
          <w:ilvl w:val="0"/>
          <w:numId w:val="20"/>
        </w:numPr>
        <w:spacing w:line="480" w:lineRule="auto"/>
        <w:rPr>
          <w:szCs w:val="28"/>
        </w:rPr>
      </w:pPr>
      <w:r>
        <w:rPr>
          <w:szCs w:val="28"/>
        </w:rPr>
        <w:t xml:space="preserve">These will usually be those issues where </w:t>
      </w:r>
      <w:proofErr w:type="spellStart"/>
      <w:r>
        <w:rPr>
          <w:szCs w:val="28"/>
        </w:rPr>
        <w:t>a</w:t>
      </w:r>
      <w:proofErr w:type="spellEnd"/>
      <w:r>
        <w:rPr>
          <w:szCs w:val="28"/>
        </w:rPr>
        <w:t xml:space="preserve"> trial objection was made or where a pre-trial motion was heard and decided.</w:t>
      </w:r>
    </w:p>
    <w:p w14:paraId="6318E07D" w14:textId="2F6B9584" w:rsidR="005B4FB4" w:rsidRDefault="00D2287D" w:rsidP="005B4FB4">
      <w:pPr>
        <w:pStyle w:val="ListParaNoIndent"/>
        <w:numPr>
          <w:ilvl w:val="0"/>
          <w:numId w:val="20"/>
        </w:numPr>
        <w:spacing w:line="480" w:lineRule="auto"/>
        <w:rPr>
          <w:szCs w:val="28"/>
        </w:rPr>
      </w:pPr>
      <w:r>
        <w:rPr>
          <w:szCs w:val="28"/>
        </w:rPr>
        <w:t>I would strongly suggest that you do the research work to determine whether your rulings were correct.  And I would specifically cite the most relevant cases in your written order.</w:t>
      </w:r>
    </w:p>
    <w:p w14:paraId="4D53AEB6" w14:textId="41DD48C3" w:rsidR="005B4FB4" w:rsidRDefault="005B4FB4" w:rsidP="005B4FB4">
      <w:pPr>
        <w:pStyle w:val="ListParaNoIndent"/>
        <w:numPr>
          <w:ilvl w:val="0"/>
          <w:numId w:val="0"/>
        </w:numPr>
        <w:spacing w:line="480" w:lineRule="auto"/>
        <w:rPr>
          <w:szCs w:val="28"/>
        </w:rPr>
      </w:pPr>
      <w:r>
        <w:rPr>
          <w:szCs w:val="28"/>
        </w:rPr>
        <w:pict w14:anchorId="0EC98916">
          <v:rect id="_x0000_i1038" style="width:0;height:1.5pt" o:hralign="center" o:hrstd="t" o:hr="t" fillcolor="#a0a0a0" stroked="f"/>
        </w:pict>
      </w:r>
    </w:p>
    <w:p w14:paraId="613D31B0" w14:textId="7A373002" w:rsidR="005B4FB4" w:rsidRPr="005B4FB4" w:rsidRDefault="005B4FB4" w:rsidP="005B4FB4">
      <w:pPr>
        <w:pStyle w:val="ListParaNoIndent"/>
        <w:numPr>
          <w:ilvl w:val="0"/>
          <w:numId w:val="0"/>
        </w:numPr>
        <w:spacing w:line="480" w:lineRule="auto"/>
        <w:jc w:val="center"/>
        <w:rPr>
          <w:szCs w:val="28"/>
        </w:rPr>
      </w:pPr>
      <w:r>
        <w:rPr>
          <w:b/>
          <w:bCs/>
          <w:szCs w:val="28"/>
          <w:u w:val="single"/>
        </w:rPr>
        <w:t>PREPARING THE ORDER</w:t>
      </w:r>
    </w:p>
    <w:p w14:paraId="13741687" w14:textId="77777777" w:rsidR="00BC64B8" w:rsidRPr="00BC64B8" w:rsidRDefault="00BC64B8" w:rsidP="00BC64B8">
      <w:pPr>
        <w:jc w:val="center"/>
      </w:pPr>
    </w:p>
    <w:p w14:paraId="07E02DBE" w14:textId="253AA830" w:rsidR="00E14F08" w:rsidRPr="006C4671" w:rsidRDefault="00785C5A" w:rsidP="0064023B">
      <w:pPr>
        <w:pStyle w:val="ListParaNoIndent"/>
        <w:numPr>
          <w:ilvl w:val="0"/>
          <w:numId w:val="20"/>
        </w:numPr>
        <w:spacing w:line="480" w:lineRule="auto"/>
        <w:rPr>
          <w:szCs w:val="28"/>
          <w:u w:val="single"/>
        </w:rPr>
      </w:pPr>
      <w:r>
        <w:rPr>
          <w:szCs w:val="28"/>
        </w:rPr>
        <w:t>When I am drafting an order on a MNT, I usually start by reciting the facts about the MNT hearing itself; who was present, the date of the hearing, etc.  Then I go through the dates of trial, the charges, the convictions and the date the MNT was filed.</w:t>
      </w:r>
    </w:p>
    <w:p w14:paraId="565303EA" w14:textId="67C072C0" w:rsidR="006C4671" w:rsidRPr="006C4671" w:rsidRDefault="006C4671" w:rsidP="0064023B">
      <w:pPr>
        <w:pStyle w:val="ListParaNoIndent"/>
        <w:numPr>
          <w:ilvl w:val="0"/>
          <w:numId w:val="20"/>
        </w:numPr>
        <w:spacing w:line="480" w:lineRule="auto"/>
        <w:rPr>
          <w:szCs w:val="28"/>
          <w:u w:val="single"/>
        </w:rPr>
      </w:pPr>
      <w:r>
        <w:rPr>
          <w:szCs w:val="28"/>
        </w:rPr>
        <w:t>[</w:t>
      </w:r>
      <w:r>
        <w:rPr>
          <w:szCs w:val="28"/>
          <w:u w:val="single"/>
        </w:rPr>
        <w:t>Tain—do you do the same?]</w:t>
      </w:r>
    </w:p>
    <w:p w14:paraId="5CFF1D5E" w14:textId="68697D2C" w:rsidR="006C4671" w:rsidRPr="006C4671" w:rsidRDefault="006C4671" w:rsidP="0064023B">
      <w:pPr>
        <w:pStyle w:val="ListParaNoIndent"/>
        <w:numPr>
          <w:ilvl w:val="0"/>
          <w:numId w:val="20"/>
        </w:numPr>
        <w:spacing w:line="480" w:lineRule="auto"/>
        <w:rPr>
          <w:szCs w:val="28"/>
          <w:u w:val="single"/>
        </w:rPr>
      </w:pPr>
      <w:r>
        <w:rPr>
          <w:szCs w:val="28"/>
        </w:rPr>
        <w:t>I try to expedite the hearing and the order.  The Rules require you to promptly get those things done.</w:t>
      </w:r>
    </w:p>
    <w:p w14:paraId="31F3DF2C" w14:textId="6F18602E" w:rsidR="006C4671" w:rsidRPr="00785C5A" w:rsidRDefault="006C4671" w:rsidP="006C4671">
      <w:pPr>
        <w:pStyle w:val="ListParaNoIndent"/>
        <w:numPr>
          <w:ilvl w:val="1"/>
          <w:numId w:val="20"/>
        </w:numPr>
        <w:spacing w:line="480" w:lineRule="auto"/>
        <w:rPr>
          <w:szCs w:val="28"/>
          <w:u w:val="single"/>
        </w:rPr>
      </w:pPr>
      <w:r>
        <w:rPr>
          <w:szCs w:val="28"/>
        </w:rPr>
        <w:lastRenderedPageBreak/>
        <w:t>“Just rule!” -</w:t>
      </w:r>
      <w:r>
        <w:rPr>
          <w:i/>
          <w:iCs/>
          <w:szCs w:val="28"/>
        </w:rPr>
        <w:t>Judge Lamar Sizemore</w:t>
      </w:r>
    </w:p>
    <w:p w14:paraId="76DEDAFC" w14:textId="5077F68F" w:rsidR="00785C5A" w:rsidRPr="000B428E" w:rsidRDefault="00785C5A" w:rsidP="008B3A8C">
      <w:pPr>
        <w:pStyle w:val="ListParaNoIndent"/>
        <w:numPr>
          <w:ilvl w:val="0"/>
          <w:numId w:val="0"/>
        </w:numPr>
        <w:spacing w:line="480" w:lineRule="auto"/>
        <w:ind w:left="810"/>
        <w:rPr>
          <w:szCs w:val="28"/>
          <w:u w:val="single"/>
        </w:rPr>
      </w:pPr>
    </w:p>
    <w:p w14:paraId="6C7B6A5B" w14:textId="638A6703" w:rsidR="00F60D01" w:rsidRPr="00D729F6" w:rsidRDefault="00F60D01" w:rsidP="006B6476">
      <w:pPr>
        <w:pStyle w:val="ListParaNoIndent"/>
        <w:numPr>
          <w:ilvl w:val="0"/>
          <w:numId w:val="0"/>
        </w:numPr>
        <w:spacing w:line="480" w:lineRule="auto"/>
        <w:rPr>
          <w:szCs w:val="28"/>
        </w:rPr>
      </w:pPr>
      <w:r>
        <w:rPr>
          <w:szCs w:val="28"/>
        </w:rPr>
        <w:pict w14:anchorId="6D9761A8">
          <v:rect id="_x0000_i1026" style="width:0;height:1.5pt" o:hralign="center" o:hrstd="t" o:hr="t" fillcolor="#a0a0a0" stroked="f"/>
        </w:pict>
      </w:r>
    </w:p>
    <w:p w14:paraId="0612DBBB" w14:textId="5E7B1308" w:rsidR="00C276B9" w:rsidRPr="00906E00" w:rsidRDefault="006833E1" w:rsidP="006833E1">
      <w:pPr>
        <w:pStyle w:val="ListParaNoIndent"/>
        <w:numPr>
          <w:ilvl w:val="0"/>
          <w:numId w:val="0"/>
        </w:numPr>
        <w:spacing w:line="480" w:lineRule="auto"/>
        <w:rPr>
          <w:szCs w:val="28"/>
        </w:rPr>
      </w:pPr>
      <w:r>
        <w:rPr>
          <w:szCs w:val="28"/>
        </w:rPr>
        <w:t>[ending script]</w:t>
      </w:r>
    </w:p>
    <w:p w14:paraId="44E5D125" w14:textId="4B0D1D4C" w:rsidR="00C276B9" w:rsidRPr="00906E00" w:rsidRDefault="00C276B9" w:rsidP="00710DF1">
      <w:pPr>
        <w:pStyle w:val="ListParaNoIndent"/>
        <w:numPr>
          <w:ilvl w:val="0"/>
          <w:numId w:val="0"/>
        </w:numPr>
        <w:spacing w:line="480" w:lineRule="auto"/>
        <w:ind w:left="1170" w:hanging="360"/>
        <w:rPr>
          <w:szCs w:val="28"/>
        </w:rPr>
      </w:pPr>
    </w:p>
    <w:p w14:paraId="7F35FD20" w14:textId="77777777" w:rsidR="005637AD" w:rsidRPr="00906E00" w:rsidRDefault="005637AD">
      <w:pPr>
        <w:rPr>
          <w:sz w:val="28"/>
          <w:szCs w:val="28"/>
        </w:rPr>
      </w:pPr>
    </w:p>
    <w:sectPr w:rsidR="005637AD" w:rsidRPr="00906E00">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571AC" w14:textId="77777777" w:rsidR="00082F4B" w:rsidRDefault="00082F4B" w:rsidP="00E57DDA">
      <w:pPr>
        <w:spacing w:after="0" w:line="240" w:lineRule="auto"/>
      </w:pPr>
      <w:r>
        <w:separator/>
      </w:r>
    </w:p>
  </w:endnote>
  <w:endnote w:type="continuationSeparator" w:id="0">
    <w:p w14:paraId="19A100CB" w14:textId="77777777" w:rsidR="00082F4B" w:rsidRDefault="00082F4B" w:rsidP="00E5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C22C" w14:textId="77777777" w:rsidR="00E57DDA" w:rsidRDefault="00E57DDA" w:rsidP="008B2CBA">
    <w:pPr>
      <w:pStyle w:val="Footer"/>
      <w:rPr>
        <w:b w:val="0"/>
        <w:szCs w:val="20"/>
      </w:rPr>
    </w:pPr>
  </w:p>
  <w:p w14:paraId="71630C7D" w14:textId="4F650F2E" w:rsidR="00E57DDA" w:rsidRDefault="001E2F1D" w:rsidP="008B2CBA">
    <w:pPr>
      <w:pStyle w:val="Footer"/>
      <w:rPr>
        <w:szCs w:val="20"/>
      </w:rPr>
    </w:pPr>
    <w:r>
      <w:rPr>
        <w:szCs w:val="20"/>
      </w:rPr>
      <w:t>SCRIPT</w:t>
    </w:r>
    <w:r w:rsidR="00E57DDA">
      <w:rPr>
        <w:szCs w:val="20"/>
      </w:rPr>
      <w:t xml:space="preserve"> FOR </w:t>
    </w:r>
    <w:r w:rsidR="00BC64B8">
      <w:rPr>
        <w:szCs w:val="20"/>
      </w:rPr>
      <w:t xml:space="preserve">MNT </w:t>
    </w:r>
    <w:r w:rsidR="00E57DDA">
      <w:rPr>
        <w:szCs w:val="20"/>
      </w:rPr>
      <w:t>PODCAST</w:t>
    </w:r>
    <w:r w:rsidR="00346D9E">
      <w:rPr>
        <w:szCs w:val="20"/>
      </w:rPr>
      <w:t xml:space="preserve"> </w:t>
    </w:r>
  </w:p>
  <w:p w14:paraId="7FE31702" w14:textId="37ECE2D9" w:rsidR="00E57DDA" w:rsidRDefault="00346D9E" w:rsidP="008B2CBA">
    <w:pPr>
      <w:pStyle w:val="Footer"/>
      <w:rPr>
        <w:b w:val="0"/>
        <w:szCs w:val="20"/>
      </w:rPr>
    </w:pPr>
    <w:r>
      <w:rPr>
        <w:szCs w:val="20"/>
      </w:rPr>
      <w:t>7</w:t>
    </w:r>
    <w:r w:rsidR="00E57DDA">
      <w:rPr>
        <w:szCs w:val="20"/>
      </w:rPr>
      <w:t>/</w:t>
    </w:r>
    <w:r>
      <w:rPr>
        <w:szCs w:val="20"/>
      </w:rPr>
      <w:t>3</w:t>
    </w:r>
    <w:r w:rsidR="00E57DDA">
      <w:rPr>
        <w:szCs w:val="20"/>
      </w:rPr>
      <w:t>/2019</w:t>
    </w:r>
  </w:p>
  <w:p w14:paraId="45F6B4D1" w14:textId="77777777" w:rsidR="00E57DDA" w:rsidRDefault="00E57DDA" w:rsidP="00367E4A">
    <w:pPr>
      <w:pStyle w:val="Footer"/>
    </w:pPr>
    <w:r>
      <w:rPr>
        <w:szCs w:val="20"/>
      </w:rPr>
      <w:t xml:space="preserve">PAGE </w:t>
    </w:r>
    <w:r>
      <w:rPr>
        <w:b w:val="0"/>
        <w:szCs w:val="20"/>
      </w:rPr>
      <w:fldChar w:fldCharType="begin"/>
    </w:r>
    <w:r>
      <w:rPr>
        <w:szCs w:val="20"/>
      </w:rPr>
      <w:instrText xml:space="preserve"> PAGE  \* Arabic  \* MERGEFORMAT </w:instrText>
    </w:r>
    <w:r>
      <w:rPr>
        <w:b w:val="0"/>
        <w:szCs w:val="20"/>
      </w:rPr>
      <w:fldChar w:fldCharType="separate"/>
    </w:r>
    <w:r>
      <w:rPr>
        <w:noProof/>
        <w:szCs w:val="20"/>
      </w:rPr>
      <w:t>1</w:t>
    </w:r>
    <w:r>
      <w:rPr>
        <w:b w:val="0"/>
        <w:szCs w:val="20"/>
      </w:rPr>
      <w:fldChar w:fldCharType="end"/>
    </w:r>
    <w:r>
      <w:rPr>
        <w:szCs w:val="20"/>
      </w:rPr>
      <w:t xml:space="preserve"> OF </w:t>
    </w:r>
    <w:r>
      <w:rPr>
        <w:b w:val="0"/>
        <w:szCs w:val="20"/>
      </w:rPr>
      <w:fldChar w:fldCharType="begin"/>
    </w:r>
    <w:r>
      <w:rPr>
        <w:szCs w:val="20"/>
      </w:rPr>
      <w:instrText xml:space="preserve"> NUMPAGES  \* Arabic  \* MERGEFORMAT </w:instrText>
    </w:r>
    <w:r>
      <w:rPr>
        <w:b w:val="0"/>
        <w:szCs w:val="20"/>
      </w:rPr>
      <w:fldChar w:fldCharType="separate"/>
    </w:r>
    <w:r>
      <w:rPr>
        <w:noProof/>
        <w:szCs w:val="20"/>
      </w:rPr>
      <w:t>1</w:t>
    </w:r>
    <w:r>
      <w:rPr>
        <w:b w:val="0"/>
        <w:szCs w:val="20"/>
      </w:rPr>
      <w:fldChar w:fldCharType="end"/>
    </w:r>
  </w:p>
  <w:p w14:paraId="248390F7" w14:textId="77777777" w:rsidR="00E57DDA" w:rsidRDefault="00E57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F2C35" w14:textId="77777777" w:rsidR="00082F4B" w:rsidRDefault="00082F4B" w:rsidP="00E57DDA">
      <w:pPr>
        <w:spacing w:after="0" w:line="240" w:lineRule="auto"/>
      </w:pPr>
      <w:r>
        <w:separator/>
      </w:r>
    </w:p>
  </w:footnote>
  <w:footnote w:type="continuationSeparator" w:id="0">
    <w:p w14:paraId="08C4E826" w14:textId="77777777" w:rsidR="00082F4B" w:rsidRDefault="00082F4B" w:rsidP="00E5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0C39"/>
    <w:multiLevelType w:val="hybridMultilevel"/>
    <w:tmpl w:val="DD80F322"/>
    <w:lvl w:ilvl="0" w:tplc="FFC60594">
      <w:start w:val="1"/>
      <w:numFmt w:val="decimal"/>
      <w:pStyle w:val="ListParaNoIndent"/>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B19EF"/>
    <w:multiLevelType w:val="multilevel"/>
    <w:tmpl w:val="30E0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6E7F74"/>
    <w:multiLevelType w:val="multilevel"/>
    <w:tmpl w:val="F0A80EEE"/>
    <w:styleLink w:val="BigPaper"/>
    <w:lvl w:ilvl="0">
      <w:start w:val="1"/>
      <w:numFmt w:val="decimal"/>
      <w:lvlText w:val="%1.0"/>
      <w:lvlJc w:val="left"/>
      <w:pPr>
        <w:ind w:left="360" w:hanging="360"/>
      </w:pPr>
      <w:rPr>
        <w:rFonts w:ascii="Times New Roman" w:hAnsi="Times New Roman" w:hint="default"/>
        <w:b/>
        <w:bCs/>
        <w:i w:val="0"/>
        <w:iCs w:val="0"/>
        <w:caps/>
        <w:smallCaps w:val="0"/>
        <w:strike w:val="0"/>
        <w:dstrike w:val="0"/>
        <w:outline w:val="0"/>
        <w:shadow w:val="0"/>
        <w:emboss w:val="0"/>
        <w:imprint w:val="0"/>
        <w:vanish w:val="0"/>
        <w:color w:val="auto"/>
        <w:spacing w:val="0"/>
        <w:kern w:val="0"/>
        <w:position w:val="0"/>
        <w:sz w:val="28"/>
        <w:effect w:val="none"/>
        <w:vertAlign w:val="baseline"/>
        <w:em w:val="none"/>
        <w14:ligatures w14:val="none"/>
        <w14:numForm w14:val="default"/>
        <w14:numSpacing w14:val="default"/>
        <w14:stylisticSets/>
        <w14:cntxtAlts w14:val="0"/>
      </w:rPr>
    </w:lvl>
    <w:lvl w:ilvl="1">
      <w:start w:val="1"/>
      <w:numFmt w:val="decimal"/>
      <w:isLgl/>
      <w:suff w:val="space"/>
      <w:lvlText w:val="%2.1"/>
      <w:lvlJc w:val="left"/>
      <w:pPr>
        <w:ind w:left="1080" w:firstLine="0"/>
      </w:pPr>
      <w:rPr>
        <w:rFonts w:ascii="Times New Roman" w:hAnsi="Times New Roman" w:hint="default"/>
        <w:b/>
        <w:i w:val="0"/>
        <w:caps/>
        <w:strike w:val="0"/>
        <w:dstrike w:val="0"/>
        <w:vanish w:val="0"/>
        <w:color w:val="auto"/>
        <w:sz w:val="24"/>
        <w:vertAlign w:val="baseline"/>
      </w:rPr>
    </w:lvl>
    <w:lvl w:ilvl="2">
      <w:start w:val="1"/>
      <w:numFmt w:val="decimal"/>
      <w:isLgl/>
      <w:suff w:val="space"/>
      <w:lvlText w:val="%3.1.1"/>
      <w:lvlJc w:val="left"/>
      <w:pPr>
        <w:ind w:left="0" w:firstLine="0"/>
      </w:pPr>
      <w:rPr>
        <w:rFonts w:ascii="Times New Roman" w:hAnsi="Times New Roman" w:hint="default"/>
        <w:b/>
        <w:i w:val="0"/>
        <w:caps/>
        <w:strike w:val="0"/>
        <w:dstrike w:val="0"/>
        <w:vanish w:val="0"/>
        <w:color w:val="auto"/>
        <w:sz w:val="24"/>
        <w:vertAlign w:val="baseline"/>
      </w:rPr>
    </w:lvl>
    <w:lvl w:ilvl="3">
      <w:start w:val="1"/>
      <w:numFmt w:val="decimal"/>
      <w:lvlText w:val="(%4)"/>
      <w:lvlJc w:val="left"/>
      <w:pPr>
        <w:tabs>
          <w:tab w:val="num" w:pos="576"/>
        </w:tabs>
        <w:ind w:left="0" w:firstLine="0"/>
      </w:pPr>
      <w:rPr>
        <w:rFonts w:hint="default"/>
      </w:rPr>
    </w:lvl>
    <w:lvl w:ilvl="4">
      <w:start w:val="1"/>
      <w:numFmt w:val="lowerLetter"/>
      <w:lvlText w:val="(%5)"/>
      <w:lvlJc w:val="left"/>
      <w:pPr>
        <w:tabs>
          <w:tab w:val="num" w:pos="576"/>
        </w:tabs>
        <w:ind w:left="0" w:firstLine="0"/>
      </w:pPr>
      <w:rPr>
        <w:rFonts w:hint="default"/>
      </w:rPr>
    </w:lvl>
    <w:lvl w:ilvl="5">
      <w:start w:val="1"/>
      <w:numFmt w:val="lowerRoman"/>
      <w:lvlText w:val="(%6)"/>
      <w:lvlJc w:val="left"/>
      <w:pPr>
        <w:tabs>
          <w:tab w:val="num" w:pos="576"/>
        </w:tabs>
        <w:ind w:left="0" w:firstLine="0"/>
      </w:pPr>
      <w:rPr>
        <w:rFonts w:hint="default"/>
      </w:rPr>
    </w:lvl>
    <w:lvl w:ilvl="6">
      <w:start w:val="1"/>
      <w:numFmt w:val="decimal"/>
      <w:lvlText w:val="%7."/>
      <w:lvlJc w:val="left"/>
      <w:pPr>
        <w:tabs>
          <w:tab w:val="num" w:pos="576"/>
        </w:tabs>
        <w:ind w:left="0" w:firstLine="0"/>
      </w:pPr>
      <w:rPr>
        <w:rFonts w:hint="default"/>
      </w:rPr>
    </w:lvl>
    <w:lvl w:ilvl="7">
      <w:start w:val="1"/>
      <w:numFmt w:val="lowerLetter"/>
      <w:lvlText w:val="%8."/>
      <w:lvlJc w:val="left"/>
      <w:pPr>
        <w:tabs>
          <w:tab w:val="num" w:pos="576"/>
        </w:tabs>
        <w:ind w:left="0" w:firstLine="0"/>
      </w:pPr>
      <w:rPr>
        <w:rFonts w:hint="default"/>
      </w:rPr>
    </w:lvl>
    <w:lvl w:ilvl="8">
      <w:start w:val="1"/>
      <w:numFmt w:val="lowerRoman"/>
      <w:lvlText w:val="%9."/>
      <w:lvlJc w:val="left"/>
      <w:pPr>
        <w:tabs>
          <w:tab w:val="num" w:pos="576"/>
        </w:tabs>
        <w:ind w:left="0" w:firstLine="0"/>
      </w:pPr>
      <w:rPr>
        <w:rFonts w:hint="default"/>
      </w:rPr>
    </w:lvl>
  </w:abstractNum>
  <w:abstractNum w:abstractNumId="4" w15:restartNumberingAfterBreak="0">
    <w:nsid w:val="09F352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BD3FAA"/>
    <w:multiLevelType w:val="multilevel"/>
    <w:tmpl w:val="FA5067AE"/>
    <w:styleLink w:val="Style2"/>
    <w:lvl w:ilvl="0">
      <w:start w:val="1"/>
      <w:numFmt w:val="decimal"/>
      <w:isLgl/>
      <w:suff w:val="space"/>
      <w:lvlText w:val="%1"/>
      <w:lvlJc w:val="left"/>
      <w:pPr>
        <w:ind w:left="360" w:hanging="360"/>
      </w:pPr>
      <w:rPr>
        <w:rFonts w:asciiTheme="majorHAnsi" w:hAnsiTheme="majorHAnsi" w:hint="default"/>
        <w:b/>
        <w:i w:val="0"/>
        <w:color w:val="auto"/>
        <w:sz w:val="28"/>
      </w:rPr>
    </w:lvl>
    <w:lvl w:ilvl="1">
      <w:start w:val="1"/>
      <w:numFmt w:val="decimal"/>
      <w:isLgl/>
      <w:suff w:val="space"/>
      <w:lvlText w:val="%1.%2"/>
      <w:lvlJc w:val="left"/>
      <w:pPr>
        <w:ind w:left="720" w:hanging="360"/>
      </w:pPr>
      <w:rPr>
        <w:rFonts w:hint="default"/>
        <w:b/>
        <w:i w:val="0"/>
        <w:color w:val="auto"/>
        <w:sz w:val="24"/>
      </w:rPr>
    </w:lvl>
    <w:lvl w:ilvl="2">
      <w:start w:val="1"/>
      <w:numFmt w:val="decimal"/>
      <w:isLgl/>
      <w:suff w:val="space"/>
      <w:lvlText w:val="%1.%2.%3"/>
      <w:lvlJc w:val="left"/>
      <w:pPr>
        <w:ind w:left="1080" w:hanging="360"/>
      </w:pPr>
      <w:rPr>
        <w:rFonts w:hint="default"/>
        <w:b/>
        <w:i w:val="0"/>
        <w:color w:val="auto"/>
        <w:sz w:val="24"/>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6" w15:restartNumberingAfterBreak="0">
    <w:nsid w:val="33CF3A9C"/>
    <w:multiLevelType w:val="multilevel"/>
    <w:tmpl w:val="A8206314"/>
    <w:lvl w:ilvl="0">
      <w:start w:val="1"/>
      <w:numFmt w:val="decimal"/>
      <w:pStyle w:val="Heading1"/>
      <w:isLgl/>
      <w:lvlText w:val="%1"/>
      <w:lvlJc w:val="left"/>
      <w:pPr>
        <w:tabs>
          <w:tab w:val="num" w:pos="360"/>
        </w:tabs>
        <w:ind w:left="0" w:firstLine="0"/>
      </w:pPr>
      <w:rPr>
        <w:rFonts w:asciiTheme="majorHAnsi" w:hAnsiTheme="majorHAnsi" w:hint="default"/>
        <w:b/>
        <w:i w:val="0"/>
        <w:color w:val="auto"/>
        <w:sz w:val="28"/>
      </w:rPr>
    </w:lvl>
    <w:lvl w:ilvl="1">
      <w:start w:val="1"/>
      <w:numFmt w:val="decimal"/>
      <w:pStyle w:val="Heading2"/>
      <w:isLgl/>
      <w:lvlText w:val="%1.%2"/>
      <w:lvlJc w:val="left"/>
      <w:pPr>
        <w:tabs>
          <w:tab w:val="num" w:pos="360"/>
        </w:tabs>
        <w:ind w:left="0" w:firstLine="0"/>
      </w:pPr>
      <w:rPr>
        <w:rFonts w:hint="default"/>
        <w:b/>
        <w:i w:val="0"/>
        <w:color w:val="auto"/>
        <w:sz w:val="24"/>
      </w:rPr>
    </w:lvl>
    <w:lvl w:ilvl="2">
      <w:start w:val="1"/>
      <w:numFmt w:val="decimal"/>
      <w:lvlText w:val="%1.%2.%3"/>
      <w:lvlJc w:val="left"/>
      <w:pPr>
        <w:tabs>
          <w:tab w:val="num" w:pos="360"/>
        </w:tabs>
        <w:ind w:left="0" w:firstLine="0"/>
      </w:pPr>
      <w:rPr>
        <w:rFonts w:hint="default"/>
        <w:b/>
        <w:i w:val="0"/>
        <w:color w:val="auto"/>
        <w:sz w:val="24"/>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7" w15:restartNumberingAfterBreak="0">
    <w:nsid w:val="4D9350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28A1C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D774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2B2F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5"/>
  </w:num>
  <w:num w:numId="5">
    <w:abstractNumId w:val="6"/>
  </w:num>
  <w:num w:numId="6">
    <w:abstractNumId w:val="6"/>
  </w:num>
  <w:num w:numId="7">
    <w:abstractNumId w:val="6"/>
  </w:num>
  <w:num w:numId="8">
    <w:abstractNumId w:val="6"/>
  </w:num>
  <w:num w:numId="9">
    <w:abstractNumId w:val="0"/>
  </w:num>
  <w:num w:numId="10">
    <w:abstractNumId w:val="1"/>
  </w:num>
  <w:num w:numId="11">
    <w:abstractNumId w:val="3"/>
  </w:num>
  <w:num w:numId="12">
    <w:abstractNumId w:val="5"/>
  </w:num>
  <w:num w:numId="13">
    <w:abstractNumId w:val="6"/>
  </w:num>
  <w:num w:numId="14">
    <w:abstractNumId w:val="6"/>
  </w:num>
  <w:num w:numId="15">
    <w:abstractNumId w:val="2"/>
  </w:num>
  <w:num w:numId="16">
    <w:abstractNumId w:val="1"/>
  </w:num>
  <w:num w:numId="17">
    <w:abstractNumId w:val="1"/>
  </w:num>
  <w:num w:numId="18">
    <w:abstractNumId w:val="1"/>
  </w:num>
  <w:num w:numId="19">
    <w:abstractNumId w:val="1"/>
  </w:num>
  <w:num w:numId="20">
    <w:abstractNumId w:val="8"/>
  </w:num>
  <w:num w:numId="21">
    <w:abstractNumId w:val="9"/>
  </w:num>
  <w:num w:numId="22">
    <w:abstractNumId w:val="10"/>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DA"/>
    <w:rsid w:val="00082F4B"/>
    <w:rsid w:val="000B428E"/>
    <w:rsid w:val="000C2BBB"/>
    <w:rsid w:val="000C367D"/>
    <w:rsid w:val="001336A7"/>
    <w:rsid w:val="00147F5A"/>
    <w:rsid w:val="001757E4"/>
    <w:rsid w:val="001A2170"/>
    <w:rsid w:val="001A41D7"/>
    <w:rsid w:val="001E2F1D"/>
    <w:rsid w:val="001F61EB"/>
    <w:rsid w:val="00223D17"/>
    <w:rsid w:val="002404C3"/>
    <w:rsid w:val="002B4E05"/>
    <w:rsid w:val="002F3CC9"/>
    <w:rsid w:val="00302AD4"/>
    <w:rsid w:val="00346D9E"/>
    <w:rsid w:val="003B2D6C"/>
    <w:rsid w:val="003C0226"/>
    <w:rsid w:val="003E1CBE"/>
    <w:rsid w:val="00402886"/>
    <w:rsid w:val="00402AA7"/>
    <w:rsid w:val="00460A2A"/>
    <w:rsid w:val="004E0C05"/>
    <w:rsid w:val="00513E98"/>
    <w:rsid w:val="005637AD"/>
    <w:rsid w:val="00585ACF"/>
    <w:rsid w:val="005B4FB4"/>
    <w:rsid w:val="005C045D"/>
    <w:rsid w:val="005D57AF"/>
    <w:rsid w:val="00603B24"/>
    <w:rsid w:val="00605BF2"/>
    <w:rsid w:val="00635901"/>
    <w:rsid w:val="0064023B"/>
    <w:rsid w:val="00653FAD"/>
    <w:rsid w:val="006833E1"/>
    <w:rsid w:val="006B0107"/>
    <w:rsid w:val="006B6476"/>
    <w:rsid w:val="006C4671"/>
    <w:rsid w:val="006F452E"/>
    <w:rsid w:val="007036BE"/>
    <w:rsid w:val="00710DF1"/>
    <w:rsid w:val="007304F0"/>
    <w:rsid w:val="007756DA"/>
    <w:rsid w:val="00785C5A"/>
    <w:rsid w:val="00795150"/>
    <w:rsid w:val="008239A5"/>
    <w:rsid w:val="008551FC"/>
    <w:rsid w:val="008B3A8C"/>
    <w:rsid w:val="008D3529"/>
    <w:rsid w:val="008E5576"/>
    <w:rsid w:val="00906E00"/>
    <w:rsid w:val="009072E0"/>
    <w:rsid w:val="00920081"/>
    <w:rsid w:val="00925ADE"/>
    <w:rsid w:val="00953C9A"/>
    <w:rsid w:val="009578B7"/>
    <w:rsid w:val="00993028"/>
    <w:rsid w:val="00995D31"/>
    <w:rsid w:val="009C0069"/>
    <w:rsid w:val="009D4EA0"/>
    <w:rsid w:val="009E4B5F"/>
    <w:rsid w:val="009E6BAA"/>
    <w:rsid w:val="00A034E6"/>
    <w:rsid w:val="00A13E99"/>
    <w:rsid w:val="00A770EE"/>
    <w:rsid w:val="00A87855"/>
    <w:rsid w:val="00B81FD9"/>
    <w:rsid w:val="00BC64B8"/>
    <w:rsid w:val="00BD054B"/>
    <w:rsid w:val="00BF3FC4"/>
    <w:rsid w:val="00C077FE"/>
    <w:rsid w:val="00C276B9"/>
    <w:rsid w:val="00C354EB"/>
    <w:rsid w:val="00C47579"/>
    <w:rsid w:val="00CA0FB9"/>
    <w:rsid w:val="00CC1D7B"/>
    <w:rsid w:val="00D2287D"/>
    <w:rsid w:val="00D729F6"/>
    <w:rsid w:val="00D87D71"/>
    <w:rsid w:val="00DC5CA5"/>
    <w:rsid w:val="00DD4ABE"/>
    <w:rsid w:val="00DD4F54"/>
    <w:rsid w:val="00E14F08"/>
    <w:rsid w:val="00E37225"/>
    <w:rsid w:val="00E467CF"/>
    <w:rsid w:val="00E51163"/>
    <w:rsid w:val="00E57DDA"/>
    <w:rsid w:val="00EB2917"/>
    <w:rsid w:val="00EB29F1"/>
    <w:rsid w:val="00EB586B"/>
    <w:rsid w:val="00EC1EC3"/>
    <w:rsid w:val="00EF620B"/>
    <w:rsid w:val="00F42A78"/>
    <w:rsid w:val="00F60D01"/>
    <w:rsid w:val="00FB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FF9F"/>
  <w15:chartTrackingRefBased/>
  <w15:docId w15:val="{A1E98733-2D4D-4A57-839C-75A83A8F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00" w:line="276" w:lineRule="auto"/>
        <w:ind w:firstLine="720"/>
      </w:pPr>
    </w:pPrDefault>
  </w:docDefaults>
  <w:latentStyles w:defLockedState="0" w:defUIPriority="99" w:defSemiHidden="0" w:defUnhideWhenUsed="0" w:defQFormat="0" w:count="376">
    <w:lsdException w:name="Normal" w:uiPriority="1"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14"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7DDA"/>
  </w:style>
  <w:style w:type="paragraph" w:styleId="Heading1">
    <w:name w:val="heading 1"/>
    <w:basedOn w:val="Normal"/>
    <w:link w:val="Heading1Char"/>
    <w:uiPriority w:val="3"/>
    <w:qFormat/>
    <w:rsid w:val="002404C3"/>
    <w:pPr>
      <w:keepNext/>
      <w:keepLines/>
      <w:numPr>
        <w:numId w:val="14"/>
      </w:numPr>
      <w:spacing w:before="240" w:after="240"/>
      <w:outlineLvl w:val="0"/>
    </w:pPr>
    <w:rPr>
      <w:rFonts w:asciiTheme="majorHAnsi" w:eastAsiaTheme="majorEastAsia" w:hAnsiTheme="majorHAnsi" w:cstheme="majorBidi"/>
      <w:b/>
      <w:sz w:val="28"/>
      <w:szCs w:val="32"/>
      <w:u w:val="single"/>
    </w:rPr>
  </w:style>
  <w:style w:type="paragraph" w:styleId="Heading2">
    <w:name w:val="heading 2"/>
    <w:basedOn w:val="Normal"/>
    <w:next w:val="Normal"/>
    <w:link w:val="Heading2Char"/>
    <w:uiPriority w:val="4"/>
    <w:qFormat/>
    <w:rsid w:val="002404C3"/>
    <w:pPr>
      <w:keepNext/>
      <w:numPr>
        <w:ilvl w:val="1"/>
        <w:numId w:val="14"/>
      </w:numPr>
      <w:spacing w:before="240" w:after="240"/>
      <w:outlineLvl w:val="1"/>
    </w:pPr>
    <w:rPr>
      <w:rFonts w:eastAsiaTheme="majorEastAsia" w:cstheme="majorBidi"/>
      <w:b/>
      <w:szCs w:val="26"/>
      <w:u w:val="single"/>
    </w:rPr>
  </w:style>
  <w:style w:type="paragraph" w:styleId="Heading3">
    <w:name w:val="heading 3"/>
    <w:basedOn w:val="Normal"/>
    <w:link w:val="Heading3Char"/>
    <w:uiPriority w:val="5"/>
    <w:qFormat/>
    <w:rsid w:val="002404C3"/>
    <w:pPr>
      <w:keepNext/>
      <w:numPr>
        <w:ilvl w:val="2"/>
        <w:numId w:val="15"/>
      </w:numPr>
      <w:spacing w:before="240" w:after="240" w:line="240" w:lineRule="auto"/>
      <w:ind w:firstLine="0"/>
      <w:jc w:val="center"/>
      <w:outlineLvl w:val="2"/>
    </w:pPr>
    <w:rPr>
      <w:rFonts w:eastAsiaTheme="majorEastAsia" w:cstheme="majorBidi"/>
      <w:b/>
      <w:u w:val="single"/>
    </w:rPr>
  </w:style>
  <w:style w:type="paragraph" w:styleId="Heading4">
    <w:name w:val="heading 4"/>
    <w:basedOn w:val="Normal"/>
    <w:link w:val="Heading4Char"/>
    <w:autoRedefine/>
    <w:uiPriority w:val="6"/>
    <w:qFormat/>
    <w:rsid w:val="008D3529"/>
    <w:pPr>
      <w:keepNext/>
      <w:keepLines/>
      <w:framePr w:wrap="notBeside" w:hAnchor="text"/>
      <w:spacing w:before="40"/>
      <w:jc w:val="center"/>
      <w:outlineLvl w:val="3"/>
    </w:pPr>
    <w:rPr>
      <w:rFonts w:asciiTheme="majorHAnsi" w:eastAsiaTheme="majorEastAsia" w:hAnsiTheme="majorHAnsi" w:cstheme="majorBidi"/>
      <w:b/>
      <w:iCs/>
      <w:u w:val="single"/>
    </w:rPr>
  </w:style>
  <w:style w:type="paragraph" w:styleId="Heading5">
    <w:name w:val="heading 5"/>
    <w:basedOn w:val="Normal"/>
    <w:link w:val="Heading5Char"/>
    <w:uiPriority w:val="9"/>
    <w:semiHidden/>
    <w:unhideWhenUsed/>
    <w:qFormat/>
    <w:rsid w:val="008D3529"/>
    <w:pPr>
      <w:keepNext/>
      <w:keepLines/>
      <w:framePr w:wrap="notBeside" w:hAnchor="text"/>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
    <w:qFormat/>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EndnoteText">
    <w:name w:val="endnote text"/>
    <w:basedOn w:val="Normal"/>
    <w:link w:val="EndnoteTextChar"/>
    <w:uiPriority w:val="99"/>
    <w:unhideWhenUsed/>
    <w:qFormat/>
    <w:rsid w:val="008D3529"/>
    <w:pPr>
      <w:keepLines/>
      <w:framePr w:wrap="notBeside" w:hAnchor="text"/>
      <w:spacing w:after="0" w:line="240" w:lineRule="auto"/>
      <w:ind w:left="360" w:hanging="360"/>
    </w:pPr>
  </w:style>
  <w:style w:type="character" w:customStyle="1" w:styleId="EndnoteTextChar">
    <w:name w:val="Endnote Text Char"/>
    <w:basedOn w:val="DefaultParagraphFont"/>
    <w:link w:val="EndnoteText"/>
    <w:uiPriority w:val="99"/>
    <w:rsid w:val="008D3529"/>
    <w:rPr>
      <w:szCs w:val="24"/>
    </w:rPr>
  </w:style>
  <w:style w:type="character" w:styleId="EndnoteReference">
    <w:name w:val="endnote reference"/>
    <w:basedOn w:val="DefaultParagraphFont"/>
    <w:uiPriority w:val="14"/>
    <w:qFormat/>
    <w:rsid w:val="008D3529"/>
    <w:rPr>
      <w:rFonts w:ascii="Times New Roman" w:hAnsi="Times New Roman"/>
      <w:b/>
      <w:sz w:val="24"/>
      <w:vertAlign w:val="superscript"/>
    </w:rPr>
  </w:style>
  <w:style w:type="table" w:styleId="TableGrid">
    <w:name w:val="Table Grid"/>
    <w:basedOn w:val="TableNormal"/>
    <w:uiPriority w:val="59"/>
    <w:rsid w:val="008D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Quote">
    <w:name w:val="Legal Quote"/>
    <w:basedOn w:val="Normal"/>
    <w:uiPriority w:val="1"/>
    <w:qFormat/>
    <w:rsid w:val="008D3529"/>
    <w:pPr>
      <w:autoSpaceDE w:val="0"/>
      <w:autoSpaceDN w:val="0"/>
      <w:adjustRightInd w:val="0"/>
      <w:spacing w:after="0" w:line="240" w:lineRule="auto"/>
      <w:ind w:left="720" w:right="720" w:firstLine="0"/>
      <w:jc w:val="both"/>
    </w:pPr>
    <w:rPr>
      <w:rFonts w:eastAsiaTheme="minorEastAsia"/>
    </w:rPr>
  </w:style>
  <w:style w:type="paragraph" w:customStyle="1" w:styleId="TableParagraph">
    <w:name w:val="Table Paragraph"/>
    <w:basedOn w:val="Normal"/>
    <w:autoRedefine/>
    <w:uiPriority w:val="7"/>
    <w:qFormat/>
    <w:rsid w:val="008D3529"/>
    <w:pPr>
      <w:keepNext/>
      <w:keepLines/>
      <w:framePr w:wrap="notBeside" w:hAnchor="text"/>
      <w:spacing w:after="0" w:line="240" w:lineRule="auto"/>
    </w:pPr>
  </w:style>
  <w:style w:type="paragraph" w:customStyle="1" w:styleId="Style1">
    <w:name w:val="Style1"/>
    <w:basedOn w:val="Normal"/>
    <w:autoRedefine/>
    <w:uiPriority w:val="24"/>
    <w:qFormat/>
    <w:rsid w:val="008D3529"/>
    <w:pPr>
      <w:framePr w:wrap="notBeside" w:hAnchor="text"/>
    </w:pPr>
    <w:rPr>
      <w:position w:val="9"/>
      <w:sz w:val="20"/>
    </w:rPr>
  </w:style>
  <w:style w:type="paragraph" w:customStyle="1" w:styleId="Footnote">
    <w:name w:val="Footnote"/>
    <w:basedOn w:val="Normal"/>
    <w:autoRedefine/>
    <w:uiPriority w:val="1"/>
    <w:qFormat/>
    <w:rsid w:val="008D3529"/>
    <w:pPr>
      <w:keepLines/>
      <w:framePr w:wrap="notBeside" w:hAnchor="text"/>
    </w:pPr>
    <w:rPr>
      <w:sz w:val="20"/>
    </w:rPr>
  </w:style>
  <w:style w:type="numbering" w:customStyle="1" w:styleId="JordiesClass">
    <w:name w:val="Jordie's Class"/>
    <w:uiPriority w:val="99"/>
    <w:rsid w:val="008D3529"/>
    <w:pPr>
      <w:numPr>
        <w:numId w:val="1"/>
      </w:numPr>
    </w:pPr>
  </w:style>
  <w:style w:type="paragraph" w:customStyle="1" w:styleId="17">
    <w:name w:val="_17"/>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16">
    <w:name w:val="_16"/>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15">
    <w:name w:val="_15"/>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14">
    <w:name w:val="_14"/>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13">
    <w:name w:val="_13"/>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12">
    <w:name w:val="_12"/>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11">
    <w:name w:val="_11"/>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0">
    <w:name w:val="_10"/>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Level9">
    <w:name w:val="Level 9"/>
    <w:uiPriority w:val="99"/>
    <w:rsid w:val="008D3529"/>
    <w:pPr>
      <w:widowControl w:val="0"/>
      <w:autoSpaceDE w:val="0"/>
      <w:autoSpaceDN w:val="0"/>
      <w:adjustRightInd w:val="0"/>
      <w:ind w:left="-1440"/>
      <w:jc w:val="both"/>
    </w:pPr>
    <w:rPr>
      <w:rFonts w:eastAsiaTheme="minorEastAsia"/>
      <w:b/>
      <w:bCs/>
    </w:rPr>
  </w:style>
  <w:style w:type="paragraph" w:customStyle="1" w:styleId="26">
    <w:name w:val="_26"/>
    <w:uiPriority w:val="99"/>
    <w:rsid w:val="008D3529"/>
    <w:pPr>
      <w:widowControl w:val="0"/>
      <w:autoSpaceDE w:val="0"/>
      <w:autoSpaceDN w:val="0"/>
      <w:adjustRightInd w:val="0"/>
      <w:jc w:val="both"/>
    </w:pPr>
    <w:rPr>
      <w:rFonts w:eastAsiaTheme="minorEastAsia"/>
    </w:rPr>
  </w:style>
  <w:style w:type="paragraph" w:customStyle="1" w:styleId="25">
    <w:name w:val="_25"/>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24">
    <w:name w:val="_24"/>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23">
    <w:name w:val="_23"/>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22">
    <w:name w:val="_22"/>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21">
    <w:name w:val="_21"/>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0">
    <w:name w:val="_20"/>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9">
    <w:name w:val="_19"/>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18">
    <w:name w:val="_18"/>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9">
    <w:name w:val="_9"/>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8">
    <w:name w:val="_8"/>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7">
    <w:name w:val="_7"/>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6">
    <w:name w:val="_6"/>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5">
    <w:name w:val="_5"/>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4">
    <w:name w:val="_4"/>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3">
    <w:name w:val="_3"/>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
    <w:name w:val="_2"/>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
    <w:name w:val="_1"/>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a">
    <w:name w:val="_"/>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DefinitionT">
    <w:name w:val="Definition T"/>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DefinitionL">
    <w:name w:val="Definition L"/>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customStyle="1" w:styleId="Definition">
    <w:name w:val="Definition"/>
    <w:uiPriority w:val="99"/>
    <w:rsid w:val="008D3529"/>
    <w:rPr>
      <w:i/>
      <w:iCs/>
    </w:rPr>
  </w:style>
  <w:style w:type="paragraph" w:customStyle="1" w:styleId="H1">
    <w:name w:val="H1"/>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customStyle="1" w:styleId="H2">
    <w:name w:val="H2"/>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customStyle="1" w:styleId="H3">
    <w:name w:val="H3"/>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8"/>
      <w:szCs w:val="28"/>
    </w:rPr>
  </w:style>
  <w:style w:type="paragraph" w:customStyle="1" w:styleId="H4">
    <w:name w:val="H4"/>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customStyle="1" w:styleId="H5">
    <w:name w:val="H5"/>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customStyle="1" w:styleId="H6">
    <w:name w:val="H6"/>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customStyle="1" w:styleId="Address">
    <w:name w:val="Address"/>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customStyle="1" w:styleId="Blockquote">
    <w:name w:val="Blockquote"/>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customStyle="1" w:styleId="CITE">
    <w:name w:val="CITE"/>
    <w:uiPriority w:val="99"/>
    <w:rsid w:val="008D3529"/>
    <w:rPr>
      <w:i/>
      <w:iCs/>
    </w:rPr>
  </w:style>
  <w:style w:type="character" w:customStyle="1" w:styleId="CODE">
    <w:name w:val="CODE"/>
    <w:uiPriority w:val="99"/>
    <w:rsid w:val="008D3529"/>
    <w:rPr>
      <w:rFonts w:ascii="Courier New" w:hAnsi="Courier New" w:cs="Courier New"/>
      <w:sz w:val="20"/>
      <w:szCs w:val="20"/>
    </w:rPr>
  </w:style>
  <w:style w:type="character" w:customStyle="1" w:styleId="FollowedHype">
    <w:name w:val="FollowedHype"/>
    <w:uiPriority w:val="99"/>
    <w:rsid w:val="008D3529"/>
    <w:rPr>
      <w:color w:val="800080"/>
      <w:u w:val="single"/>
    </w:rPr>
  </w:style>
  <w:style w:type="character" w:customStyle="1" w:styleId="Keyboard">
    <w:name w:val="Keyboard"/>
    <w:uiPriority w:val="99"/>
    <w:rsid w:val="008D3529"/>
    <w:rPr>
      <w:rFonts w:ascii="Courier New" w:hAnsi="Courier New" w:cs="Courier New"/>
      <w:b/>
      <w:bCs/>
      <w:sz w:val="20"/>
      <w:szCs w:val="20"/>
    </w:rPr>
  </w:style>
  <w:style w:type="paragraph" w:customStyle="1" w:styleId="Preformatted">
    <w:name w:val="Preformatted"/>
    <w:uiPriority w:val="99"/>
    <w:rsid w:val="008D352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heme="minorEastAsia" w:hAnsi="Courier New" w:cs="Courier New"/>
      <w:sz w:val="20"/>
      <w:szCs w:val="20"/>
    </w:rPr>
  </w:style>
  <w:style w:type="paragraph" w:customStyle="1" w:styleId="zBottomof">
    <w:name w:val="zBottom of"/>
    <w:uiPriority w:val="99"/>
    <w:rsid w:val="008D352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paragraph" w:customStyle="1" w:styleId="zTopofFor">
    <w:name w:val="zTop of For"/>
    <w:uiPriority w:val="99"/>
    <w:rsid w:val="008D352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customStyle="1" w:styleId="Sample">
    <w:name w:val="Sample"/>
    <w:uiPriority w:val="99"/>
    <w:rsid w:val="008D3529"/>
    <w:rPr>
      <w:rFonts w:ascii="Courier New" w:hAnsi="Courier New" w:cs="Courier New"/>
    </w:rPr>
  </w:style>
  <w:style w:type="character" w:customStyle="1" w:styleId="Typewriter">
    <w:name w:val="Typewriter"/>
    <w:uiPriority w:val="99"/>
    <w:rsid w:val="008D3529"/>
    <w:rPr>
      <w:rFonts w:ascii="Courier New" w:hAnsi="Courier New" w:cs="Courier New"/>
      <w:sz w:val="20"/>
      <w:szCs w:val="20"/>
    </w:rPr>
  </w:style>
  <w:style w:type="character" w:customStyle="1" w:styleId="Variable">
    <w:name w:val="Variable"/>
    <w:uiPriority w:val="99"/>
    <w:rsid w:val="008D3529"/>
    <w:rPr>
      <w:i/>
      <w:iCs/>
    </w:rPr>
  </w:style>
  <w:style w:type="character" w:customStyle="1" w:styleId="HTMLMarkup">
    <w:name w:val="HTML Markup"/>
    <w:uiPriority w:val="99"/>
    <w:rsid w:val="008D3529"/>
    <w:rPr>
      <w:vanish/>
      <w:color w:val="FF0000"/>
    </w:rPr>
  </w:style>
  <w:style w:type="character" w:customStyle="1" w:styleId="Comment">
    <w:name w:val="Comment"/>
    <w:uiPriority w:val="99"/>
    <w:rsid w:val="008D3529"/>
  </w:style>
  <w:style w:type="character" w:customStyle="1" w:styleId="DefaultPara">
    <w:name w:val="Default Para"/>
    <w:uiPriority w:val="99"/>
    <w:rsid w:val="008D3529"/>
  </w:style>
  <w:style w:type="character" w:customStyle="1" w:styleId="cosearchterm">
    <w:name w:val="co_searchterm"/>
    <w:basedOn w:val="DefaultParagraphFont"/>
    <w:uiPriority w:val="99"/>
    <w:rsid w:val="008D3529"/>
  </w:style>
  <w:style w:type="character" w:customStyle="1" w:styleId="costarpage">
    <w:name w:val="co_starpage"/>
    <w:basedOn w:val="DefaultParagraphFont"/>
    <w:uiPriority w:val="99"/>
    <w:rsid w:val="008D3529"/>
  </w:style>
  <w:style w:type="character" w:customStyle="1" w:styleId="counderline">
    <w:name w:val="co_underline"/>
    <w:basedOn w:val="DefaultParagraphFont"/>
    <w:uiPriority w:val="99"/>
    <w:rsid w:val="008D3529"/>
  </w:style>
  <w:style w:type="paragraph" w:customStyle="1" w:styleId="ListParaNoIndent">
    <w:name w:val="List Para No Indent"/>
    <w:basedOn w:val="ListParagraph"/>
    <w:link w:val="ListParaNoIndentChar"/>
    <w:uiPriority w:val="2"/>
    <w:qFormat/>
    <w:rsid w:val="008551FC"/>
    <w:pPr>
      <w:numPr>
        <w:numId w:val="10"/>
      </w:numPr>
      <w:tabs>
        <w:tab w:val="left" w:pos="43"/>
        <w:tab w:val="left" w:pos="432"/>
      </w:tabs>
    </w:pPr>
    <w:rPr>
      <w:sz w:val="28"/>
    </w:rPr>
  </w:style>
  <w:style w:type="character" w:customStyle="1" w:styleId="ListParaNoIndentChar">
    <w:name w:val="List Para No Indent Char"/>
    <w:basedOn w:val="ListParagraphChar"/>
    <w:link w:val="ListParaNoIndent"/>
    <w:uiPriority w:val="2"/>
    <w:rsid w:val="008551FC"/>
    <w:rPr>
      <w:sz w:val="28"/>
      <w:szCs w:val="24"/>
    </w:rPr>
  </w:style>
  <w:style w:type="paragraph" w:styleId="ListParagraph">
    <w:name w:val="List Paragraph"/>
    <w:basedOn w:val="Normal"/>
    <w:link w:val="ListParagraphChar"/>
    <w:uiPriority w:val="34"/>
    <w:qFormat/>
    <w:rsid w:val="008D3529"/>
    <w:pPr>
      <w:ind w:left="432" w:hanging="432"/>
    </w:pPr>
  </w:style>
  <w:style w:type="paragraph" w:customStyle="1" w:styleId="endnotetex1">
    <w:name w:val="endnote tex1"/>
    <w:basedOn w:val="Normal"/>
    <w:qFormat/>
    <w:rsid w:val="008D3529"/>
    <w:pPr>
      <w:widowControl w:val="0"/>
      <w:spacing w:after="0" w:line="240" w:lineRule="auto"/>
      <w:ind w:left="360" w:hanging="360"/>
    </w:pPr>
    <w:rPr>
      <w:rFonts w:eastAsia="Times New Roman"/>
      <w:szCs w:val="20"/>
    </w:rPr>
  </w:style>
  <w:style w:type="character" w:customStyle="1" w:styleId="cohighlight">
    <w:name w:val="co_highlight"/>
    <w:rsid w:val="008D3529"/>
    <w:rPr>
      <w:rFonts w:cs="Times New Roman"/>
    </w:rPr>
  </w:style>
  <w:style w:type="numbering" w:customStyle="1" w:styleId="BigPaper">
    <w:name w:val="Big Paper"/>
    <w:uiPriority w:val="99"/>
    <w:rsid w:val="008D3529"/>
    <w:pPr>
      <w:numPr>
        <w:numId w:val="3"/>
      </w:numPr>
    </w:pPr>
  </w:style>
  <w:style w:type="numbering" w:customStyle="1" w:styleId="Style2">
    <w:name w:val="Style2"/>
    <w:uiPriority w:val="99"/>
    <w:rsid w:val="008D3529"/>
    <w:pPr>
      <w:numPr>
        <w:numId w:val="4"/>
      </w:numPr>
    </w:pPr>
  </w:style>
  <w:style w:type="character" w:customStyle="1" w:styleId="Heading1Char">
    <w:name w:val="Heading 1 Char"/>
    <w:basedOn w:val="DefaultParagraphFont"/>
    <w:link w:val="Heading1"/>
    <w:uiPriority w:val="3"/>
    <w:rsid w:val="008D3529"/>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4"/>
    <w:rsid w:val="008D3529"/>
    <w:rPr>
      <w:rFonts w:eastAsiaTheme="majorEastAsia" w:cstheme="majorBidi"/>
      <w:b/>
      <w:szCs w:val="26"/>
      <w:u w:val="single"/>
    </w:rPr>
  </w:style>
  <w:style w:type="character" w:customStyle="1" w:styleId="Heading3Char">
    <w:name w:val="Heading 3 Char"/>
    <w:basedOn w:val="DefaultParagraphFont"/>
    <w:link w:val="Heading3"/>
    <w:uiPriority w:val="5"/>
    <w:rsid w:val="002404C3"/>
    <w:rPr>
      <w:rFonts w:eastAsiaTheme="majorEastAsia" w:cstheme="majorBidi"/>
      <w:b/>
      <w:u w:val="single"/>
    </w:rPr>
  </w:style>
  <w:style w:type="character" w:customStyle="1" w:styleId="Heading4Char">
    <w:name w:val="Heading 4 Char"/>
    <w:basedOn w:val="DefaultParagraphFont"/>
    <w:link w:val="Heading4"/>
    <w:uiPriority w:val="6"/>
    <w:rsid w:val="008D3529"/>
    <w:rPr>
      <w:rFonts w:asciiTheme="majorHAnsi" w:eastAsiaTheme="majorEastAsia" w:hAnsiTheme="majorHAnsi" w:cstheme="majorBidi"/>
      <w:b/>
      <w:iCs/>
      <w:szCs w:val="24"/>
      <w:u w:val="single"/>
    </w:rPr>
  </w:style>
  <w:style w:type="character" w:customStyle="1" w:styleId="Heading5Char">
    <w:name w:val="Heading 5 Char"/>
    <w:basedOn w:val="DefaultParagraphFont"/>
    <w:link w:val="Heading5"/>
    <w:uiPriority w:val="9"/>
    <w:semiHidden/>
    <w:rsid w:val="008D3529"/>
    <w:rPr>
      <w:rFonts w:asciiTheme="majorHAnsi" w:eastAsiaTheme="majorEastAsia" w:hAnsiTheme="majorHAnsi" w:cstheme="majorBidi"/>
      <w:color w:val="2F5496" w:themeColor="accent1" w:themeShade="BF"/>
      <w:szCs w:val="24"/>
    </w:rPr>
  </w:style>
  <w:style w:type="paragraph" w:styleId="TOC1">
    <w:name w:val="toc 1"/>
    <w:basedOn w:val="Normal"/>
    <w:next w:val="Normal"/>
    <w:uiPriority w:val="39"/>
    <w:unhideWhenUsed/>
    <w:qFormat/>
    <w:rsid w:val="008D3529"/>
    <w:pPr>
      <w:tabs>
        <w:tab w:val="left" w:pos="1440"/>
        <w:tab w:val="right" w:leader="dot" w:pos="9350"/>
      </w:tabs>
      <w:spacing w:before="120" w:after="120" w:line="240" w:lineRule="auto"/>
      <w:ind w:left="432" w:hanging="432"/>
    </w:pPr>
    <w:rPr>
      <w:rFonts w:cstheme="minorHAnsi"/>
      <w:b/>
      <w:bCs/>
      <w:caps/>
      <w:noProof/>
      <w:szCs w:val="20"/>
    </w:rPr>
  </w:style>
  <w:style w:type="paragraph" w:styleId="TOC2">
    <w:name w:val="toc 2"/>
    <w:basedOn w:val="Normal"/>
    <w:next w:val="Normal"/>
    <w:uiPriority w:val="39"/>
    <w:unhideWhenUsed/>
    <w:qFormat/>
    <w:rsid w:val="008D3529"/>
    <w:pPr>
      <w:spacing w:after="80" w:line="240" w:lineRule="auto"/>
      <w:ind w:left="288" w:firstLine="0"/>
    </w:pPr>
    <w:rPr>
      <w:rFonts w:cstheme="minorHAnsi"/>
      <w:smallCaps/>
      <w:szCs w:val="20"/>
    </w:rPr>
  </w:style>
  <w:style w:type="paragraph" w:styleId="TOC3">
    <w:name w:val="toc 3"/>
    <w:basedOn w:val="Normal"/>
    <w:next w:val="Normal"/>
    <w:uiPriority w:val="39"/>
    <w:unhideWhenUsed/>
    <w:qFormat/>
    <w:rsid w:val="008D3529"/>
    <w:pPr>
      <w:spacing w:after="80" w:line="240" w:lineRule="auto"/>
      <w:ind w:left="1440" w:hanging="720"/>
    </w:pPr>
    <w:rPr>
      <w:rFonts w:cstheme="minorHAnsi"/>
      <w:iCs/>
      <w:szCs w:val="20"/>
    </w:rPr>
  </w:style>
  <w:style w:type="paragraph" w:styleId="TOC4">
    <w:name w:val="toc 4"/>
    <w:basedOn w:val="Normal"/>
    <w:next w:val="Normal"/>
    <w:uiPriority w:val="39"/>
    <w:unhideWhenUsed/>
    <w:qFormat/>
    <w:rsid w:val="008D3529"/>
    <w:pPr>
      <w:spacing w:after="120" w:line="240" w:lineRule="auto"/>
      <w:ind w:left="720"/>
    </w:pPr>
    <w:rPr>
      <w:rFonts w:cstheme="minorHAnsi"/>
      <w:i/>
      <w:sz w:val="20"/>
      <w:szCs w:val="18"/>
    </w:rPr>
  </w:style>
  <w:style w:type="paragraph" w:styleId="TOC5">
    <w:name w:val="toc 5"/>
    <w:basedOn w:val="Normal"/>
    <w:next w:val="Normal"/>
    <w:autoRedefine/>
    <w:uiPriority w:val="39"/>
    <w:unhideWhenUsed/>
    <w:rsid w:val="008D3529"/>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3529"/>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3529"/>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3529"/>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3529"/>
    <w:pPr>
      <w:spacing w:after="0"/>
      <w:ind w:left="1920"/>
    </w:pPr>
    <w:rPr>
      <w:rFonts w:asciiTheme="minorHAnsi" w:hAnsiTheme="minorHAnsi" w:cstheme="minorHAnsi"/>
      <w:sz w:val="18"/>
      <w:szCs w:val="18"/>
    </w:rPr>
  </w:style>
  <w:style w:type="paragraph" w:styleId="FootnoteText">
    <w:name w:val="footnote text"/>
    <w:basedOn w:val="Normal"/>
    <w:link w:val="FootnoteTextChar"/>
    <w:uiPriority w:val="99"/>
    <w:semiHidden/>
    <w:unhideWhenUsed/>
    <w:rsid w:val="008D3529"/>
    <w:pPr>
      <w:framePr w:wrap="notBeside" w:hAnchor="text"/>
      <w:spacing w:after="0"/>
    </w:pPr>
    <w:rPr>
      <w:sz w:val="20"/>
      <w:szCs w:val="20"/>
    </w:rPr>
  </w:style>
  <w:style w:type="character" w:customStyle="1" w:styleId="FootnoteTextChar">
    <w:name w:val="Footnote Text Char"/>
    <w:basedOn w:val="DefaultParagraphFont"/>
    <w:link w:val="FootnoteText"/>
    <w:uiPriority w:val="99"/>
    <w:semiHidden/>
    <w:rsid w:val="008D3529"/>
    <w:rPr>
      <w:rFonts w:cs="Times New Roman"/>
      <w:sz w:val="20"/>
      <w:szCs w:val="20"/>
    </w:rPr>
  </w:style>
  <w:style w:type="paragraph" w:styleId="CommentText">
    <w:name w:val="annotation text"/>
    <w:basedOn w:val="Normal"/>
    <w:link w:val="CommentTextChar"/>
    <w:uiPriority w:val="99"/>
    <w:semiHidden/>
    <w:unhideWhenUsed/>
    <w:rsid w:val="008D3529"/>
    <w:pPr>
      <w:framePr w:wrap="notBeside" w:hAnchor="text"/>
    </w:pPr>
    <w:rPr>
      <w:sz w:val="20"/>
      <w:szCs w:val="20"/>
    </w:rPr>
  </w:style>
  <w:style w:type="character" w:customStyle="1" w:styleId="CommentTextChar">
    <w:name w:val="Comment Text Char"/>
    <w:basedOn w:val="DefaultParagraphFont"/>
    <w:link w:val="CommentText"/>
    <w:uiPriority w:val="99"/>
    <w:semiHidden/>
    <w:rsid w:val="008D3529"/>
    <w:rPr>
      <w:rFonts w:cs="Times New Roman"/>
      <w:sz w:val="20"/>
      <w:szCs w:val="20"/>
    </w:rPr>
  </w:style>
  <w:style w:type="paragraph" w:styleId="Header">
    <w:name w:val="header"/>
    <w:basedOn w:val="Normal"/>
    <w:link w:val="HeaderChar"/>
    <w:uiPriority w:val="99"/>
    <w:unhideWhenUsed/>
    <w:rsid w:val="008D3529"/>
    <w:pPr>
      <w:framePr w:wrap="notBeside" w:hAnchor="text"/>
      <w:tabs>
        <w:tab w:val="center" w:pos="4680"/>
        <w:tab w:val="right" w:pos="9360"/>
      </w:tabs>
    </w:pPr>
  </w:style>
  <w:style w:type="character" w:customStyle="1" w:styleId="HeaderChar">
    <w:name w:val="Header Char"/>
    <w:basedOn w:val="DefaultParagraphFont"/>
    <w:link w:val="Header"/>
    <w:uiPriority w:val="99"/>
    <w:rsid w:val="008D3529"/>
    <w:rPr>
      <w:rFonts w:cs="Times New Roman"/>
      <w:szCs w:val="24"/>
    </w:rPr>
  </w:style>
  <w:style w:type="paragraph" w:styleId="Footer">
    <w:name w:val="footer"/>
    <w:basedOn w:val="Normal"/>
    <w:link w:val="FooterChar"/>
    <w:uiPriority w:val="99"/>
    <w:unhideWhenUsed/>
    <w:qFormat/>
    <w:rsid w:val="008D3529"/>
    <w:pPr>
      <w:keepLines/>
      <w:spacing w:after="0" w:line="240" w:lineRule="auto"/>
      <w:jc w:val="center"/>
    </w:pPr>
    <w:rPr>
      <w:b/>
      <w:sz w:val="20"/>
    </w:rPr>
  </w:style>
  <w:style w:type="character" w:customStyle="1" w:styleId="FooterChar">
    <w:name w:val="Footer Char"/>
    <w:basedOn w:val="DefaultParagraphFont"/>
    <w:link w:val="Footer"/>
    <w:uiPriority w:val="99"/>
    <w:rsid w:val="008D3529"/>
    <w:rPr>
      <w:rFonts w:cs="Times New Roman"/>
      <w:b/>
      <w:sz w:val="20"/>
      <w:szCs w:val="24"/>
    </w:rPr>
  </w:style>
  <w:style w:type="character" w:styleId="FootnoteReference">
    <w:name w:val="footnote reference"/>
    <w:basedOn w:val="DefaultParagraphFont"/>
    <w:uiPriority w:val="99"/>
    <w:semiHidden/>
    <w:unhideWhenUsed/>
    <w:rsid w:val="008D3529"/>
    <w:rPr>
      <w:vertAlign w:val="superscript"/>
    </w:rPr>
  </w:style>
  <w:style w:type="character" w:styleId="CommentReference">
    <w:name w:val="annotation reference"/>
    <w:basedOn w:val="DefaultParagraphFont"/>
    <w:uiPriority w:val="99"/>
    <w:semiHidden/>
    <w:unhideWhenUsed/>
    <w:rsid w:val="008D3529"/>
    <w:rPr>
      <w:sz w:val="16"/>
      <w:szCs w:val="16"/>
    </w:rPr>
  </w:style>
  <w:style w:type="paragraph" w:styleId="BodyText">
    <w:name w:val="Body Text"/>
    <w:basedOn w:val="Normal"/>
    <w:link w:val="BodyTextChar"/>
    <w:uiPriority w:val="99"/>
    <w:semiHidden/>
    <w:unhideWhenUsed/>
    <w:rsid w:val="008D3529"/>
    <w:pPr>
      <w:framePr w:wrap="notBeside" w:hAnchor="text"/>
    </w:pPr>
  </w:style>
  <w:style w:type="character" w:customStyle="1" w:styleId="BodyTextChar">
    <w:name w:val="Body Text Char"/>
    <w:basedOn w:val="DefaultParagraphFont"/>
    <w:link w:val="BodyText"/>
    <w:uiPriority w:val="99"/>
    <w:semiHidden/>
    <w:rsid w:val="008D3529"/>
    <w:rPr>
      <w:rFonts w:cs="Times New Roman"/>
      <w:szCs w:val="24"/>
    </w:rPr>
  </w:style>
  <w:style w:type="character" w:styleId="Hyperlink">
    <w:name w:val="Hyperlink"/>
    <w:basedOn w:val="DefaultParagraphFont"/>
    <w:uiPriority w:val="99"/>
    <w:qFormat/>
    <w:rsid w:val="008D3529"/>
    <w:rPr>
      <w:b/>
      <w:color w:val="auto"/>
      <w:u w:val="single"/>
    </w:rPr>
  </w:style>
  <w:style w:type="character" w:styleId="Strong">
    <w:name w:val="Strong"/>
    <w:basedOn w:val="DefaultParagraphFont"/>
    <w:uiPriority w:val="99"/>
    <w:qFormat/>
    <w:rsid w:val="008D3529"/>
    <w:rPr>
      <w:b/>
      <w:bCs/>
    </w:rPr>
  </w:style>
  <w:style w:type="character" w:styleId="Emphasis">
    <w:name w:val="Emphasis"/>
    <w:basedOn w:val="DefaultParagraphFont"/>
    <w:uiPriority w:val="20"/>
    <w:qFormat/>
    <w:rsid w:val="008D3529"/>
    <w:rPr>
      <w:i/>
      <w:iCs/>
    </w:rPr>
  </w:style>
  <w:style w:type="paragraph" w:styleId="NormalWeb">
    <w:name w:val="Normal (Web)"/>
    <w:basedOn w:val="Normal"/>
    <w:uiPriority w:val="99"/>
    <w:semiHidden/>
    <w:unhideWhenUsed/>
    <w:rsid w:val="008D3529"/>
    <w:pPr>
      <w:spacing w:before="100" w:beforeAutospacing="1" w:afterAutospacing="1"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8D3529"/>
    <w:pPr>
      <w:framePr w:wrap="notBeside"/>
    </w:pPr>
    <w:rPr>
      <w:b/>
      <w:bCs/>
    </w:rPr>
  </w:style>
  <w:style w:type="character" w:customStyle="1" w:styleId="CommentSubjectChar">
    <w:name w:val="Comment Subject Char"/>
    <w:basedOn w:val="CommentTextChar"/>
    <w:link w:val="CommentSubject"/>
    <w:uiPriority w:val="99"/>
    <w:semiHidden/>
    <w:rsid w:val="008D3529"/>
    <w:rPr>
      <w:rFonts w:cs="Times New Roman"/>
      <w:b/>
      <w:bCs/>
      <w:sz w:val="20"/>
      <w:szCs w:val="20"/>
    </w:rPr>
  </w:style>
  <w:style w:type="paragraph" w:styleId="BalloonText">
    <w:name w:val="Balloon Text"/>
    <w:basedOn w:val="Normal"/>
    <w:link w:val="BalloonTextChar"/>
    <w:autoRedefine/>
    <w:uiPriority w:val="99"/>
    <w:semiHidden/>
    <w:unhideWhenUsed/>
    <w:qFormat/>
    <w:rsid w:val="008D3529"/>
    <w:pPr>
      <w:framePr w:wrap="notBeside" w:hAnchor="text"/>
      <w:pBdr>
        <w:top w:val="single" w:sz="12" w:space="1" w:color="auto"/>
        <w:left w:val="single" w:sz="12" w:space="2" w:color="auto"/>
        <w:bottom w:val="single" w:sz="12" w:space="1" w:color="auto"/>
        <w:right w:val="single" w:sz="12" w:space="2" w:color="auto"/>
      </w:pBdr>
      <w:spacing w:after="0" w:line="240" w:lineRule="auto"/>
    </w:pPr>
    <w:rPr>
      <w:rFonts w:ascii="Tahoma" w:eastAsia="Times New Roman" w:hAnsi="Tahoma" w:cs="Tahoma"/>
      <w:sz w:val="28"/>
      <w:szCs w:val="16"/>
    </w:rPr>
  </w:style>
  <w:style w:type="character" w:customStyle="1" w:styleId="BalloonTextChar">
    <w:name w:val="Balloon Text Char"/>
    <w:link w:val="BalloonText"/>
    <w:uiPriority w:val="99"/>
    <w:semiHidden/>
    <w:rsid w:val="008D3529"/>
    <w:rPr>
      <w:rFonts w:ascii="Tahoma" w:eastAsia="Times New Roman" w:hAnsi="Tahoma" w:cs="Tahoma"/>
      <w:sz w:val="28"/>
      <w:szCs w:val="16"/>
    </w:rPr>
  </w:style>
  <w:style w:type="character" w:customStyle="1" w:styleId="ListParagraphChar">
    <w:name w:val="List Paragraph Char"/>
    <w:basedOn w:val="DefaultParagraphFont"/>
    <w:link w:val="ListParagraph"/>
    <w:uiPriority w:val="34"/>
    <w:rsid w:val="008D3529"/>
    <w:rPr>
      <w:szCs w:val="24"/>
    </w:rPr>
  </w:style>
  <w:style w:type="character" w:styleId="SubtleEmphasis">
    <w:name w:val="Subtle Emphasis"/>
    <w:basedOn w:val="DefaultParagraphFont"/>
    <w:uiPriority w:val="19"/>
    <w:qFormat/>
    <w:rsid w:val="008D3529"/>
    <w:rPr>
      <w:i/>
      <w:iCs/>
      <w:color w:val="404040" w:themeColor="text1" w:themeTint="BF"/>
    </w:rPr>
  </w:style>
  <w:style w:type="paragraph" w:styleId="TOCHeading">
    <w:name w:val="TOC Heading"/>
    <w:basedOn w:val="Heading1"/>
    <w:next w:val="Normal"/>
    <w:uiPriority w:val="39"/>
    <w:unhideWhenUsed/>
    <w:qFormat/>
    <w:rsid w:val="008D3529"/>
    <w:pPr>
      <w:spacing w:after="0" w:line="259" w:lineRule="auto"/>
      <w:outlineLvl w:val="9"/>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580978">
      <w:bodyDiv w:val="1"/>
      <w:marLeft w:val="0"/>
      <w:marRight w:val="0"/>
      <w:marTop w:val="0"/>
      <w:marBottom w:val="0"/>
      <w:divBdr>
        <w:top w:val="none" w:sz="0" w:space="0" w:color="auto"/>
        <w:left w:val="none" w:sz="0" w:space="0" w:color="auto"/>
        <w:bottom w:val="none" w:sz="0" w:space="0" w:color="auto"/>
        <w:right w:val="none" w:sz="0" w:space="0" w:color="auto"/>
      </w:divBdr>
      <w:divsChild>
        <w:div w:id="1658920396">
          <w:marLeft w:val="0"/>
          <w:marRight w:val="0"/>
          <w:marTop w:val="0"/>
          <w:marBottom w:val="0"/>
          <w:divBdr>
            <w:top w:val="none" w:sz="0" w:space="0" w:color="auto"/>
            <w:left w:val="none" w:sz="0" w:space="0" w:color="auto"/>
            <w:bottom w:val="none" w:sz="0" w:space="0" w:color="auto"/>
            <w:right w:val="none" w:sz="0" w:space="0" w:color="auto"/>
          </w:divBdr>
        </w:div>
        <w:div w:id="132526618">
          <w:marLeft w:val="0"/>
          <w:marRight w:val="0"/>
          <w:marTop w:val="240"/>
          <w:marBottom w:val="0"/>
          <w:divBdr>
            <w:top w:val="none" w:sz="0" w:space="0" w:color="auto"/>
            <w:left w:val="none" w:sz="0" w:space="0" w:color="auto"/>
            <w:bottom w:val="none" w:sz="0" w:space="0" w:color="auto"/>
            <w:right w:val="none" w:sz="0" w:space="0" w:color="auto"/>
          </w:divBdr>
          <w:divsChild>
            <w:div w:id="523518761">
              <w:marLeft w:val="0"/>
              <w:marRight w:val="0"/>
              <w:marTop w:val="0"/>
              <w:marBottom w:val="0"/>
              <w:divBdr>
                <w:top w:val="none" w:sz="0" w:space="0" w:color="auto"/>
                <w:left w:val="none" w:sz="0" w:space="0" w:color="auto"/>
                <w:bottom w:val="none" w:sz="0" w:space="0" w:color="auto"/>
                <w:right w:val="none" w:sz="0" w:space="0" w:color="auto"/>
              </w:divBdr>
            </w:div>
          </w:divsChild>
        </w:div>
        <w:div w:id="1282760913">
          <w:marLeft w:val="0"/>
          <w:marRight w:val="0"/>
          <w:marTop w:val="240"/>
          <w:marBottom w:val="0"/>
          <w:divBdr>
            <w:top w:val="none" w:sz="0" w:space="0" w:color="auto"/>
            <w:left w:val="none" w:sz="0" w:space="0" w:color="auto"/>
            <w:bottom w:val="none" w:sz="0" w:space="0" w:color="auto"/>
            <w:right w:val="none" w:sz="0" w:space="0" w:color="auto"/>
          </w:divBdr>
          <w:divsChild>
            <w:div w:id="3748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EE857-FBF3-487E-BEED-52358612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3</cp:revision>
  <dcterms:created xsi:type="dcterms:W3CDTF">2019-06-30T20:29:00Z</dcterms:created>
  <dcterms:modified xsi:type="dcterms:W3CDTF">2019-06-30T20:30:00Z</dcterms:modified>
</cp:coreProperties>
</file>