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1178" w14:textId="08316567" w:rsidR="00437CB7" w:rsidRDefault="00437CB7" w:rsidP="00437CB7">
      <w:pPr>
        <w:spacing w:line="240" w:lineRule="auto"/>
        <w:jc w:val="center"/>
        <w:rPr>
          <w:rFonts w:cstheme="minorHAnsi"/>
          <w:b/>
          <w:sz w:val="28"/>
          <w:szCs w:val="28"/>
        </w:rPr>
      </w:pPr>
      <w:r>
        <w:rPr>
          <w:rFonts w:cstheme="minorHAnsi"/>
          <w:b/>
          <w:sz w:val="28"/>
          <w:szCs w:val="28"/>
        </w:rPr>
        <w:t>DUI #</w:t>
      </w:r>
      <w:r w:rsidR="0079387C">
        <w:rPr>
          <w:rFonts w:cstheme="minorHAnsi"/>
          <w:b/>
          <w:sz w:val="28"/>
          <w:szCs w:val="28"/>
        </w:rPr>
        <w:t>2</w:t>
      </w:r>
      <w:r w:rsidR="004D29E0" w:rsidRPr="009A4754">
        <w:rPr>
          <w:rFonts w:cstheme="minorHAnsi"/>
          <w:b/>
          <w:sz w:val="28"/>
          <w:szCs w:val="28"/>
        </w:rPr>
        <w:t xml:space="preserve"> EPISODE NOTES</w:t>
      </w:r>
    </w:p>
    <w:p w14:paraId="7AF0968F" w14:textId="5CFC3B9F" w:rsidR="00437CB7" w:rsidRPr="009A4754" w:rsidRDefault="00437CB7" w:rsidP="00437CB7">
      <w:pPr>
        <w:spacing w:line="240" w:lineRule="auto"/>
        <w:jc w:val="center"/>
        <w:rPr>
          <w:rFonts w:cstheme="minorHAnsi"/>
          <w:b/>
          <w:sz w:val="28"/>
          <w:szCs w:val="28"/>
        </w:rPr>
      </w:pPr>
      <w:r>
        <w:rPr>
          <w:rFonts w:cstheme="minorHAnsi"/>
          <w:b/>
          <w:sz w:val="28"/>
          <w:szCs w:val="28"/>
        </w:rPr>
        <w:t>(</w:t>
      </w:r>
      <w:r w:rsidR="0079387C">
        <w:rPr>
          <w:rFonts w:cstheme="minorHAnsi"/>
          <w:b/>
          <w:sz w:val="28"/>
          <w:szCs w:val="28"/>
        </w:rPr>
        <w:t>Recent Changes</w:t>
      </w:r>
      <w:r w:rsidR="00ED311A">
        <w:rPr>
          <w:rFonts w:cstheme="minorHAnsi"/>
          <w:b/>
          <w:sz w:val="28"/>
          <w:szCs w:val="28"/>
        </w:rPr>
        <w:t xml:space="preserve"> to </w:t>
      </w:r>
      <w:r w:rsidR="00A9618E">
        <w:rPr>
          <w:rFonts w:cstheme="minorHAnsi"/>
          <w:b/>
          <w:sz w:val="28"/>
          <w:szCs w:val="28"/>
        </w:rPr>
        <w:t xml:space="preserve">DUI </w:t>
      </w:r>
      <w:r w:rsidR="00ED311A">
        <w:rPr>
          <w:rFonts w:cstheme="minorHAnsi"/>
          <w:b/>
          <w:sz w:val="28"/>
          <w:szCs w:val="28"/>
        </w:rPr>
        <w:t>Law</w:t>
      </w:r>
      <w:r>
        <w:rPr>
          <w:rFonts w:cstheme="minorHAnsi"/>
          <w:b/>
          <w:sz w:val="28"/>
          <w:szCs w:val="28"/>
        </w:rPr>
        <w:t>)</w:t>
      </w:r>
    </w:p>
    <w:p w14:paraId="358A475D" w14:textId="30555264" w:rsidR="006A1D24" w:rsidRPr="009A4754" w:rsidRDefault="006A1D24" w:rsidP="009A4754">
      <w:pPr>
        <w:spacing w:line="480" w:lineRule="auto"/>
        <w:rPr>
          <w:rFonts w:cstheme="minorHAnsi"/>
          <w:b/>
          <w:sz w:val="28"/>
          <w:szCs w:val="28"/>
        </w:rPr>
      </w:pPr>
      <w:r w:rsidRPr="009A4754">
        <w:rPr>
          <w:rFonts w:cstheme="minorHAnsi"/>
          <w:b/>
          <w:sz w:val="28"/>
          <w:szCs w:val="28"/>
        </w:rPr>
        <w:t>Wade:  Hello folks, and welcome to e</w:t>
      </w:r>
      <w:r w:rsidR="00437CB7">
        <w:rPr>
          <w:rFonts w:cstheme="minorHAnsi"/>
          <w:b/>
          <w:sz w:val="28"/>
          <w:szCs w:val="28"/>
        </w:rPr>
        <w:t>pisode</w:t>
      </w:r>
      <w:r w:rsidRPr="009A4754">
        <w:rPr>
          <w:rFonts w:cstheme="minorHAnsi"/>
          <w:b/>
          <w:sz w:val="28"/>
          <w:szCs w:val="28"/>
        </w:rPr>
        <w:t xml:space="preserve"> </w:t>
      </w:r>
      <w:r w:rsidR="0079387C">
        <w:rPr>
          <w:rFonts w:cstheme="minorHAnsi"/>
          <w:b/>
          <w:sz w:val="28"/>
          <w:szCs w:val="28"/>
        </w:rPr>
        <w:t xml:space="preserve">#2 of our DUI series here on </w:t>
      </w:r>
      <w:r w:rsidRPr="009A4754">
        <w:rPr>
          <w:rFonts w:cstheme="minorHAnsi"/>
          <w:b/>
          <w:sz w:val="28"/>
          <w:szCs w:val="28"/>
        </w:rPr>
        <w:t>The Good Judge-ment Podcast.  I’m Wade Padgett</w:t>
      </w:r>
    </w:p>
    <w:p w14:paraId="14E093CE" w14:textId="3DAC9F98" w:rsidR="006A1D24" w:rsidRPr="009A4754" w:rsidRDefault="006A1D24" w:rsidP="009A4754">
      <w:pPr>
        <w:spacing w:line="480" w:lineRule="auto"/>
        <w:rPr>
          <w:rFonts w:cstheme="minorHAnsi"/>
          <w:i/>
          <w:sz w:val="28"/>
          <w:szCs w:val="28"/>
        </w:rPr>
      </w:pPr>
      <w:r w:rsidRPr="009A4754">
        <w:rPr>
          <w:rFonts w:cstheme="minorHAnsi"/>
          <w:i/>
          <w:sz w:val="28"/>
          <w:szCs w:val="28"/>
        </w:rPr>
        <w:t>Tain:  And I’m Tain Kell.</w:t>
      </w:r>
      <w:r w:rsidR="00DC2F1A" w:rsidRPr="009A4754">
        <w:rPr>
          <w:rFonts w:cstheme="minorHAnsi"/>
          <w:i/>
          <w:sz w:val="28"/>
          <w:szCs w:val="28"/>
        </w:rPr>
        <w:t xml:space="preserve">  </w:t>
      </w:r>
      <w:r w:rsidR="0079387C">
        <w:rPr>
          <w:rFonts w:cstheme="minorHAnsi"/>
          <w:i/>
          <w:sz w:val="28"/>
          <w:szCs w:val="28"/>
        </w:rPr>
        <w:t>Still, t</w:t>
      </w:r>
      <w:r w:rsidR="00DC2F1A" w:rsidRPr="009A4754">
        <w:rPr>
          <w:rFonts w:cstheme="minorHAnsi"/>
          <w:i/>
          <w:sz w:val="28"/>
          <w:szCs w:val="28"/>
        </w:rPr>
        <w:t xml:space="preserve">he </w:t>
      </w:r>
      <w:r w:rsidR="00437CB7">
        <w:rPr>
          <w:rFonts w:cstheme="minorHAnsi"/>
          <w:i/>
          <w:sz w:val="28"/>
          <w:szCs w:val="28"/>
        </w:rPr>
        <w:t>happily retired former judge</w:t>
      </w:r>
      <w:r w:rsidR="00DC2F1A" w:rsidRPr="009A4754">
        <w:rPr>
          <w:rFonts w:cstheme="minorHAnsi"/>
          <w:i/>
          <w:sz w:val="28"/>
          <w:szCs w:val="28"/>
        </w:rPr>
        <w:t>.</w:t>
      </w:r>
      <w:r w:rsidRPr="009A4754">
        <w:rPr>
          <w:rFonts w:cstheme="minorHAnsi"/>
          <w:i/>
          <w:sz w:val="28"/>
          <w:szCs w:val="28"/>
        </w:rPr>
        <w:t xml:space="preserve">  </w:t>
      </w:r>
    </w:p>
    <w:p w14:paraId="0692F139" w14:textId="3C5094CA" w:rsidR="006A1D24" w:rsidRPr="009A4754" w:rsidRDefault="006A1D24" w:rsidP="009A4754">
      <w:pPr>
        <w:spacing w:line="480" w:lineRule="auto"/>
        <w:rPr>
          <w:rFonts w:cstheme="minorHAnsi"/>
          <w:b/>
          <w:sz w:val="28"/>
          <w:szCs w:val="28"/>
        </w:rPr>
      </w:pPr>
      <w:r w:rsidRPr="009A4754">
        <w:rPr>
          <w:rFonts w:cstheme="minorHAnsi"/>
          <w:b/>
          <w:sz w:val="28"/>
          <w:szCs w:val="28"/>
        </w:rPr>
        <w:t xml:space="preserve">Wade:  </w:t>
      </w:r>
      <w:r w:rsidR="0079387C">
        <w:rPr>
          <w:rFonts w:cstheme="minorHAnsi"/>
          <w:b/>
          <w:sz w:val="28"/>
          <w:szCs w:val="28"/>
        </w:rPr>
        <w:t>We have fooled Judge Studdard into staying with us to serve as our guest expert on DUI law.</w:t>
      </w:r>
      <w:r w:rsidR="00ED311A">
        <w:rPr>
          <w:rFonts w:cstheme="minorHAnsi"/>
          <w:b/>
          <w:sz w:val="28"/>
          <w:szCs w:val="28"/>
        </w:rPr>
        <w:t xml:space="preserve">  We hope to keep fooling him into hanging around for the whole series.</w:t>
      </w:r>
    </w:p>
    <w:p w14:paraId="4E3CD1B3" w14:textId="1C2B0068" w:rsidR="006A1D24" w:rsidRDefault="006A1D24" w:rsidP="009A4754">
      <w:pPr>
        <w:spacing w:line="480" w:lineRule="auto"/>
        <w:rPr>
          <w:rFonts w:cstheme="minorHAnsi"/>
          <w:i/>
          <w:sz w:val="28"/>
          <w:szCs w:val="28"/>
        </w:rPr>
      </w:pPr>
      <w:r w:rsidRPr="009A4754">
        <w:rPr>
          <w:rFonts w:cstheme="minorHAnsi"/>
          <w:i/>
          <w:sz w:val="28"/>
          <w:szCs w:val="28"/>
        </w:rPr>
        <w:t xml:space="preserve">Tain:  </w:t>
      </w:r>
      <w:r w:rsidR="0079387C">
        <w:rPr>
          <w:rFonts w:cstheme="minorHAnsi"/>
          <w:i/>
          <w:sz w:val="28"/>
          <w:szCs w:val="28"/>
        </w:rPr>
        <w:t xml:space="preserve">His </w:t>
      </w:r>
      <w:r w:rsidR="005D6EB1">
        <w:rPr>
          <w:rFonts w:cstheme="minorHAnsi"/>
          <w:i/>
          <w:sz w:val="28"/>
          <w:szCs w:val="28"/>
        </w:rPr>
        <w:t xml:space="preserve">impressive </w:t>
      </w:r>
      <w:r w:rsidR="0079387C">
        <w:rPr>
          <w:rFonts w:cstheme="minorHAnsi"/>
          <w:i/>
          <w:sz w:val="28"/>
          <w:szCs w:val="28"/>
        </w:rPr>
        <w:t>background and expertise has been discussed on a prior episode</w:t>
      </w:r>
      <w:r w:rsidR="005D0F8A">
        <w:rPr>
          <w:rFonts w:cstheme="minorHAnsi"/>
          <w:i/>
          <w:sz w:val="28"/>
          <w:szCs w:val="28"/>
        </w:rPr>
        <w:t>.  Welcome back, Judge Studdard!</w:t>
      </w:r>
    </w:p>
    <w:p w14:paraId="3C711B50" w14:textId="15DBCAE3" w:rsidR="00EC4691" w:rsidRPr="00E61455" w:rsidRDefault="00E61455" w:rsidP="009A4754">
      <w:pPr>
        <w:spacing w:line="480" w:lineRule="auto"/>
        <w:rPr>
          <w:rFonts w:cstheme="minorHAnsi"/>
          <w:b/>
          <w:bCs/>
          <w:i/>
          <w:sz w:val="28"/>
          <w:szCs w:val="28"/>
        </w:rPr>
      </w:pPr>
      <w:r>
        <w:rPr>
          <w:rFonts w:cstheme="minorHAnsi"/>
          <w:b/>
          <w:bCs/>
          <w:i/>
          <w:sz w:val="28"/>
          <w:szCs w:val="28"/>
        </w:rPr>
        <w:t>Ben: ______ (your call)</w:t>
      </w:r>
    </w:p>
    <w:p w14:paraId="304705E3" w14:textId="09195689" w:rsidR="00BE5880" w:rsidRDefault="006A1D24" w:rsidP="009A4754">
      <w:pPr>
        <w:spacing w:line="480" w:lineRule="auto"/>
        <w:rPr>
          <w:rFonts w:cstheme="minorHAnsi"/>
          <w:b/>
          <w:sz w:val="28"/>
          <w:szCs w:val="28"/>
        </w:rPr>
      </w:pPr>
      <w:r w:rsidRPr="009A4754">
        <w:rPr>
          <w:rFonts w:cstheme="minorHAnsi"/>
          <w:b/>
          <w:sz w:val="28"/>
          <w:szCs w:val="28"/>
        </w:rPr>
        <w:t xml:space="preserve">Wade:  </w:t>
      </w:r>
      <w:r w:rsidR="005D0F8A">
        <w:rPr>
          <w:rFonts w:cstheme="minorHAnsi"/>
          <w:b/>
          <w:sz w:val="28"/>
          <w:szCs w:val="28"/>
        </w:rPr>
        <w:t>In episode #1 of this series, we discussed the relevant statutes, elements of proof and penalties relating to DUI.</w:t>
      </w:r>
    </w:p>
    <w:p w14:paraId="1D55AD43" w14:textId="18AC0A90" w:rsidR="00184F80" w:rsidRDefault="00E61455" w:rsidP="009A4754">
      <w:pPr>
        <w:spacing w:line="480" w:lineRule="auto"/>
        <w:rPr>
          <w:rFonts w:cstheme="minorHAnsi"/>
          <w:bCs/>
          <w:i/>
          <w:iCs/>
          <w:sz w:val="28"/>
          <w:szCs w:val="28"/>
        </w:rPr>
      </w:pPr>
      <w:r w:rsidRPr="00E61455">
        <w:rPr>
          <w:rFonts w:cstheme="minorHAnsi"/>
          <w:bCs/>
          <w:i/>
          <w:iCs/>
          <w:sz w:val="28"/>
          <w:szCs w:val="28"/>
        </w:rPr>
        <w:t>Tain:</w:t>
      </w:r>
      <w:r>
        <w:rPr>
          <w:rFonts w:cstheme="minorHAnsi"/>
          <w:bCs/>
          <w:i/>
          <w:iCs/>
          <w:sz w:val="28"/>
          <w:szCs w:val="28"/>
        </w:rPr>
        <w:t xml:space="preserve">  </w:t>
      </w:r>
      <w:r w:rsidR="005D0F8A">
        <w:rPr>
          <w:rFonts w:cstheme="minorHAnsi"/>
          <w:bCs/>
          <w:i/>
          <w:iCs/>
          <w:sz w:val="28"/>
          <w:szCs w:val="28"/>
        </w:rPr>
        <w:t>Today, we are going to address some of the recent changes to DUI law that began with a series of appellate decisions and ended with some modifications to the relevant statutes by the Georgia Legislature.</w:t>
      </w:r>
      <w:r w:rsidR="005D6EB1">
        <w:rPr>
          <w:rFonts w:cstheme="minorHAnsi"/>
          <w:bCs/>
          <w:i/>
          <w:iCs/>
          <w:sz w:val="28"/>
          <w:szCs w:val="28"/>
        </w:rPr>
        <w:t xml:space="preserve">  Honestly, if you missed episode #1 of this DUI series, you need to listen to that episode first.</w:t>
      </w:r>
    </w:p>
    <w:p w14:paraId="62B70408" w14:textId="0BC114E7" w:rsidR="00184F80" w:rsidRPr="00184F80" w:rsidRDefault="00184F80" w:rsidP="009A4754">
      <w:pPr>
        <w:spacing w:line="480" w:lineRule="auto"/>
        <w:rPr>
          <w:rFonts w:cstheme="minorHAnsi"/>
          <w:bCs/>
          <w:sz w:val="28"/>
          <w:szCs w:val="28"/>
        </w:rPr>
      </w:pPr>
      <w:r>
        <w:rPr>
          <w:rFonts w:cstheme="minorHAnsi"/>
          <w:b/>
          <w:sz w:val="28"/>
          <w:szCs w:val="28"/>
        </w:rPr>
        <w:pict w14:anchorId="437F753A">
          <v:rect id="_x0000_i1066" style="width:0;height:1.5pt" o:hralign="center" o:hrstd="t" o:hr="t" fillcolor="#a0a0a0" stroked="f"/>
        </w:pict>
      </w:r>
    </w:p>
    <w:p w14:paraId="70EAEED7" w14:textId="6455F245" w:rsidR="0087415F" w:rsidRPr="0087415F" w:rsidRDefault="0087415F" w:rsidP="009A4754">
      <w:pPr>
        <w:spacing w:line="480" w:lineRule="auto"/>
        <w:rPr>
          <w:rFonts w:cstheme="minorHAnsi"/>
          <w:b/>
          <w:sz w:val="28"/>
          <w:szCs w:val="28"/>
        </w:rPr>
      </w:pPr>
      <w:r w:rsidRPr="0087415F">
        <w:rPr>
          <w:rFonts w:cstheme="minorHAnsi"/>
          <w:b/>
          <w:sz w:val="28"/>
          <w:szCs w:val="28"/>
        </w:rPr>
        <w:lastRenderedPageBreak/>
        <w:t>Wade:</w:t>
      </w:r>
      <w:r>
        <w:rPr>
          <w:rFonts w:cstheme="minorHAnsi"/>
          <w:b/>
          <w:sz w:val="28"/>
          <w:szCs w:val="28"/>
        </w:rPr>
        <w:t xml:space="preserve">  </w:t>
      </w:r>
      <w:r w:rsidR="005D0F8A">
        <w:rPr>
          <w:rFonts w:cstheme="minorHAnsi"/>
          <w:b/>
          <w:sz w:val="28"/>
          <w:szCs w:val="28"/>
        </w:rPr>
        <w:t>We began episode #1 with a reminder that DUI is a criminal offense</w:t>
      </w:r>
      <w:r w:rsidR="007A7B70">
        <w:rPr>
          <w:rFonts w:cstheme="minorHAnsi"/>
          <w:b/>
          <w:sz w:val="28"/>
          <w:szCs w:val="28"/>
        </w:rPr>
        <w:t xml:space="preserve"> and that the constitutional provisions that apply to felony cases equally apply to DUI cases.</w:t>
      </w:r>
      <w:r w:rsidR="005D0F8A">
        <w:rPr>
          <w:rFonts w:cstheme="minorHAnsi"/>
          <w:b/>
          <w:sz w:val="28"/>
          <w:szCs w:val="28"/>
        </w:rPr>
        <w:t xml:space="preserve">  That painfully obvious point is going to be discussed in some detail in this episode.</w:t>
      </w:r>
    </w:p>
    <w:p w14:paraId="664E5526" w14:textId="6C7D76DF" w:rsidR="00BE5880" w:rsidRDefault="0038454E" w:rsidP="009A4754">
      <w:pPr>
        <w:spacing w:line="480" w:lineRule="auto"/>
        <w:rPr>
          <w:rFonts w:cstheme="minorHAnsi"/>
          <w:b/>
          <w:sz w:val="28"/>
          <w:szCs w:val="28"/>
        </w:rPr>
      </w:pPr>
      <w:r>
        <w:rPr>
          <w:rFonts w:cstheme="minorHAnsi"/>
          <w:b/>
          <w:sz w:val="28"/>
          <w:szCs w:val="28"/>
        </w:rPr>
        <w:pict w14:anchorId="47C54515">
          <v:rect id="_x0000_i1025" style="width:0;height:1.5pt" o:hralign="center" o:hrstd="t" o:hr="t" fillcolor="#a0a0a0" stroked="f"/>
        </w:pict>
      </w:r>
    </w:p>
    <w:p w14:paraId="244633B6" w14:textId="1DF69E7E" w:rsidR="005D0F8A" w:rsidRPr="003E482D" w:rsidRDefault="003E482D" w:rsidP="005D0F8A">
      <w:pPr>
        <w:pStyle w:val="ListParagraph"/>
        <w:numPr>
          <w:ilvl w:val="0"/>
          <w:numId w:val="5"/>
        </w:numPr>
        <w:spacing w:line="480" w:lineRule="auto"/>
        <w:rPr>
          <w:rFonts w:cstheme="minorHAnsi"/>
          <w:b/>
          <w:sz w:val="28"/>
          <w:szCs w:val="28"/>
        </w:rPr>
      </w:pPr>
      <w:r>
        <w:rPr>
          <w:rFonts w:cstheme="minorHAnsi"/>
          <w:bCs/>
          <w:sz w:val="28"/>
          <w:szCs w:val="28"/>
        </w:rPr>
        <w:t>The landscape of DUI has really changed in the last few years and for those who may not have been keeping a close eye on the developments, we wanted to spend some time discussing a few appellate cases and the resulting changes made by the Ga. Legislature.</w:t>
      </w:r>
    </w:p>
    <w:p w14:paraId="192B19BF" w14:textId="4E5AF359" w:rsidR="003E482D" w:rsidRPr="003E482D" w:rsidRDefault="003E482D" w:rsidP="005D0F8A">
      <w:pPr>
        <w:pStyle w:val="ListParagraph"/>
        <w:numPr>
          <w:ilvl w:val="0"/>
          <w:numId w:val="5"/>
        </w:numPr>
        <w:spacing w:line="480" w:lineRule="auto"/>
        <w:rPr>
          <w:rFonts w:cstheme="minorHAnsi"/>
          <w:b/>
          <w:sz w:val="28"/>
          <w:szCs w:val="28"/>
        </w:rPr>
      </w:pPr>
      <w:r>
        <w:rPr>
          <w:rFonts w:cstheme="minorHAnsi"/>
          <w:bCs/>
          <w:sz w:val="28"/>
          <w:szCs w:val="28"/>
        </w:rPr>
        <w:t>Specifically, we plan to discuss a few cases that are important to understand:</w:t>
      </w:r>
    </w:p>
    <w:p w14:paraId="1236882F" w14:textId="2668EB05" w:rsidR="003E482D" w:rsidRPr="003E482D" w:rsidRDefault="003E482D" w:rsidP="003E482D">
      <w:pPr>
        <w:pStyle w:val="ListParagraph"/>
        <w:numPr>
          <w:ilvl w:val="1"/>
          <w:numId w:val="5"/>
        </w:numPr>
        <w:spacing w:line="480" w:lineRule="auto"/>
        <w:rPr>
          <w:rFonts w:cstheme="minorHAnsi"/>
          <w:b/>
          <w:sz w:val="28"/>
          <w:szCs w:val="28"/>
        </w:rPr>
      </w:pPr>
      <w:r w:rsidRPr="001B4F6B">
        <w:rPr>
          <w:rFonts w:cstheme="minorHAnsi"/>
          <w:bCs/>
          <w:i/>
          <w:iCs/>
          <w:sz w:val="28"/>
          <w:szCs w:val="28"/>
        </w:rPr>
        <w:t>Elliott v. State, Olevik v. State, Williams v. State, Awad v, State</w:t>
      </w:r>
      <w:r>
        <w:rPr>
          <w:rFonts w:cstheme="minorHAnsi"/>
          <w:bCs/>
          <w:sz w:val="28"/>
          <w:szCs w:val="28"/>
        </w:rPr>
        <w:t xml:space="preserve"> and </w:t>
      </w:r>
      <w:r w:rsidRPr="001B4F6B">
        <w:rPr>
          <w:rFonts w:cstheme="minorHAnsi"/>
          <w:bCs/>
          <w:i/>
          <w:iCs/>
          <w:sz w:val="28"/>
          <w:szCs w:val="28"/>
        </w:rPr>
        <w:t>State v. Bradberry</w:t>
      </w:r>
      <w:r>
        <w:rPr>
          <w:rFonts w:cstheme="minorHAnsi"/>
          <w:bCs/>
          <w:sz w:val="28"/>
          <w:szCs w:val="28"/>
        </w:rPr>
        <w:t xml:space="preserve"> are all going to be discussed during this episode.</w:t>
      </w:r>
    </w:p>
    <w:p w14:paraId="220CE733" w14:textId="204E34B5" w:rsidR="003E482D" w:rsidRPr="001B4F6B" w:rsidRDefault="003E482D" w:rsidP="003E482D">
      <w:pPr>
        <w:pStyle w:val="ListParagraph"/>
        <w:numPr>
          <w:ilvl w:val="2"/>
          <w:numId w:val="5"/>
        </w:numPr>
        <w:spacing w:line="480" w:lineRule="auto"/>
        <w:rPr>
          <w:rFonts w:cstheme="minorHAnsi"/>
          <w:b/>
          <w:sz w:val="28"/>
          <w:szCs w:val="28"/>
        </w:rPr>
      </w:pPr>
      <w:r>
        <w:rPr>
          <w:rFonts w:cstheme="minorHAnsi"/>
          <w:bCs/>
          <w:sz w:val="28"/>
          <w:szCs w:val="28"/>
        </w:rPr>
        <w:t xml:space="preserve">We know that </w:t>
      </w:r>
      <w:r w:rsidRPr="001B4F6B">
        <w:rPr>
          <w:rFonts w:cstheme="minorHAnsi"/>
          <w:bCs/>
          <w:i/>
          <w:iCs/>
          <w:sz w:val="28"/>
          <w:szCs w:val="28"/>
        </w:rPr>
        <w:t>Elliott</w:t>
      </w:r>
      <w:r>
        <w:rPr>
          <w:rFonts w:cstheme="minorHAnsi"/>
          <w:bCs/>
          <w:sz w:val="28"/>
          <w:szCs w:val="28"/>
        </w:rPr>
        <w:t xml:space="preserve"> alone is </w:t>
      </w:r>
      <w:r w:rsidR="001B4F6B">
        <w:rPr>
          <w:rFonts w:cstheme="minorHAnsi"/>
          <w:bCs/>
          <w:sz w:val="28"/>
          <w:szCs w:val="28"/>
        </w:rPr>
        <w:t>several hundred pages in length – we are going to get into the weeds a bit, but not the roots of the weeds.</w:t>
      </w:r>
    </w:p>
    <w:p w14:paraId="1B29328C" w14:textId="17A46242" w:rsidR="001B4F6B" w:rsidRPr="001B4F6B" w:rsidRDefault="001B4F6B" w:rsidP="001B4F6B">
      <w:pPr>
        <w:pStyle w:val="ListParagraph"/>
        <w:numPr>
          <w:ilvl w:val="1"/>
          <w:numId w:val="5"/>
        </w:numPr>
        <w:spacing w:line="480" w:lineRule="auto"/>
        <w:rPr>
          <w:rFonts w:cstheme="minorHAnsi"/>
          <w:b/>
          <w:sz w:val="28"/>
          <w:szCs w:val="28"/>
        </w:rPr>
      </w:pPr>
      <w:r>
        <w:rPr>
          <w:rFonts w:cstheme="minorHAnsi"/>
          <w:bCs/>
          <w:sz w:val="28"/>
          <w:szCs w:val="28"/>
        </w:rPr>
        <w:t xml:space="preserve">Let’s start with </w:t>
      </w:r>
      <w:r>
        <w:rPr>
          <w:rFonts w:cstheme="minorHAnsi"/>
          <w:bCs/>
          <w:i/>
          <w:iCs/>
          <w:sz w:val="28"/>
          <w:szCs w:val="28"/>
        </w:rPr>
        <w:t>Elliott</w:t>
      </w:r>
      <w:r>
        <w:rPr>
          <w:rFonts w:cstheme="minorHAnsi"/>
          <w:bCs/>
          <w:sz w:val="28"/>
          <w:szCs w:val="28"/>
        </w:rPr>
        <w:t xml:space="preserve"> because that is the case that most people discuss but understand that it was not the first case decided within this series of decisions.</w:t>
      </w:r>
    </w:p>
    <w:p w14:paraId="185A3BB8" w14:textId="37AE9B3B" w:rsidR="001B4F6B" w:rsidRPr="001B4F6B" w:rsidRDefault="001B4F6B" w:rsidP="001B4F6B">
      <w:pPr>
        <w:spacing w:line="480" w:lineRule="auto"/>
        <w:rPr>
          <w:rFonts w:cstheme="minorHAnsi"/>
          <w:b/>
          <w:sz w:val="28"/>
          <w:szCs w:val="28"/>
        </w:rPr>
      </w:pPr>
      <w:r>
        <w:rPr>
          <w:rFonts w:cstheme="minorHAnsi"/>
          <w:b/>
          <w:sz w:val="28"/>
          <w:szCs w:val="28"/>
        </w:rPr>
        <w:pict w14:anchorId="1F8E786C">
          <v:rect id="_x0000_i1078" style="width:0;height:1.5pt" o:hralign="center" o:hrstd="t" o:hr="t" fillcolor="#a0a0a0" stroked="f"/>
        </w:pict>
      </w:r>
    </w:p>
    <w:p w14:paraId="572A1D1E" w14:textId="77777777" w:rsidR="00201435" w:rsidRPr="00201435" w:rsidRDefault="007A7B70" w:rsidP="001B4F6B">
      <w:pPr>
        <w:pStyle w:val="ListParagraph"/>
        <w:numPr>
          <w:ilvl w:val="0"/>
          <w:numId w:val="5"/>
        </w:numPr>
        <w:spacing w:line="480" w:lineRule="auto"/>
        <w:rPr>
          <w:rFonts w:cstheme="minorHAnsi"/>
          <w:b/>
          <w:sz w:val="28"/>
          <w:szCs w:val="28"/>
        </w:rPr>
      </w:pPr>
      <w:r>
        <w:rPr>
          <w:rFonts w:cstheme="minorHAnsi"/>
          <w:b/>
          <w:i/>
          <w:iCs/>
          <w:sz w:val="28"/>
          <w:szCs w:val="28"/>
        </w:rPr>
        <w:lastRenderedPageBreak/>
        <w:t>Elliott</w:t>
      </w:r>
      <w:r>
        <w:rPr>
          <w:rFonts w:cstheme="minorHAnsi"/>
          <w:b/>
          <w:sz w:val="28"/>
          <w:szCs w:val="28"/>
        </w:rPr>
        <w:t xml:space="preserve">:  </w:t>
      </w:r>
      <w:r>
        <w:rPr>
          <w:rFonts w:cstheme="minorHAnsi"/>
          <w:bCs/>
          <w:sz w:val="28"/>
          <w:szCs w:val="28"/>
        </w:rPr>
        <w:t>Decided Feb, 2019.</w:t>
      </w:r>
      <w:r>
        <w:rPr>
          <w:rStyle w:val="EndnoteReference"/>
          <w:rFonts w:cstheme="minorHAnsi"/>
          <w:bCs/>
          <w:szCs w:val="28"/>
        </w:rPr>
        <w:endnoteReference w:id="1"/>
      </w:r>
      <w:r>
        <w:rPr>
          <w:rFonts w:cstheme="minorHAnsi"/>
          <w:bCs/>
          <w:sz w:val="28"/>
          <w:szCs w:val="28"/>
        </w:rPr>
        <w:t xml:space="preserve">  Supreme Ct. of Ga. </w:t>
      </w:r>
      <w:r w:rsidR="00282DF9" w:rsidRPr="00282DF9">
        <w:rPr>
          <w:rFonts w:cstheme="minorHAnsi"/>
          <w:bCs/>
          <w:sz w:val="28"/>
          <w:szCs w:val="28"/>
        </w:rPr>
        <w:t xml:space="preserve">noted that the defendant has the right to refuse to submit to state-administered breath testing and the defendant’s decision to refuse testing </w:t>
      </w:r>
      <w:r w:rsidR="00282DF9" w:rsidRPr="00282DF9">
        <w:rPr>
          <w:rFonts w:cstheme="minorHAnsi"/>
          <w:b/>
          <w:bCs/>
          <w:sz w:val="28"/>
          <w:szCs w:val="28"/>
          <w:u w:val="single"/>
        </w:rPr>
        <w:t>cannot</w:t>
      </w:r>
      <w:r w:rsidR="00282DF9" w:rsidRPr="00282DF9">
        <w:rPr>
          <w:rFonts w:cstheme="minorHAnsi"/>
          <w:bCs/>
          <w:sz w:val="28"/>
          <w:szCs w:val="28"/>
        </w:rPr>
        <w:t xml:space="preserve"> be admitted into evidence in the subsequent trial.  </w:t>
      </w:r>
    </w:p>
    <w:p w14:paraId="2FFF8A50" w14:textId="77777777" w:rsidR="00201435" w:rsidRPr="00201435" w:rsidRDefault="00282DF9" w:rsidP="00201435">
      <w:pPr>
        <w:pStyle w:val="ListParagraph"/>
        <w:numPr>
          <w:ilvl w:val="1"/>
          <w:numId w:val="5"/>
        </w:numPr>
        <w:spacing w:line="480" w:lineRule="auto"/>
        <w:rPr>
          <w:rFonts w:cstheme="minorHAnsi"/>
          <w:b/>
          <w:sz w:val="28"/>
          <w:szCs w:val="28"/>
        </w:rPr>
      </w:pPr>
      <w:r w:rsidRPr="00282DF9">
        <w:rPr>
          <w:rFonts w:cstheme="minorHAnsi"/>
          <w:bCs/>
          <w:sz w:val="28"/>
          <w:szCs w:val="28"/>
        </w:rPr>
        <w:t xml:space="preserve">A criminal defendant in any criminal proceeding (including DUI) is not required to perform any act which might incriminate him/her and, therefore, the fact that the defendant exercised his/her right to refuse to participate in an “act” cannot be introduced into his/her trial.  </w:t>
      </w:r>
    </w:p>
    <w:p w14:paraId="1B409517" w14:textId="05ABEF14" w:rsidR="001B4F6B" w:rsidRPr="00282DF9" w:rsidRDefault="00282DF9" w:rsidP="00201435">
      <w:pPr>
        <w:pStyle w:val="ListParagraph"/>
        <w:numPr>
          <w:ilvl w:val="2"/>
          <w:numId w:val="5"/>
        </w:numPr>
        <w:spacing w:line="480" w:lineRule="auto"/>
        <w:rPr>
          <w:rFonts w:cstheme="minorHAnsi"/>
          <w:b/>
          <w:sz w:val="28"/>
          <w:szCs w:val="28"/>
        </w:rPr>
      </w:pPr>
      <w:r w:rsidRPr="00282DF9">
        <w:rPr>
          <w:rFonts w:cstheme="minorHAnsi"/>
          <w:bCs/>
          <w:sz w:val="28"/>
          <w:szCs w:val="28"/>
        </w:rPr>
        <w:t>“So Elliott argues to us that Paragraph XVI gives her protection that the Fifth Amendment does not, and thus renders invalid the portions of the statutes allowing her refusal to be admitted against her.  We agree.”</w:t>
      </w:r>
      <w:r w:rsidRPr="00282DF9">
        <w:rPr>
          <w:rFonts w:cstheme="minorHAnsi"/>
          <w:b/>
          <w:bCs/>
          <w:sz w:val="28"/>
          <w:szCs w:val="28"/>
          <w:vertAlign w:val="superscript"/>
        </w:rPr>
        <w:endnoteReference w:id="2"/>
      </w:r>
    </w:p>
    <w:p w14:paraId="7DC25D36" w14:textId="3580DDDE" w:rsidR="00282DF9" w:rsidRDefault="00282DF9" w:rsidP="00282DF9">
      <w:pPr>
        <w:pStyle w:val="ListParagraph"/>
        <w:numPr>
          <w:ilvl w:val="1"/>
          <w:numId w:val="5"/>
        </w:numPr>
        <w:spacing w:line="480" w:lineRule="auto"/>
        <w:rPr>
          <w:rFonts w:cstheme="minorHAnsi"/>
          <w:bCs/>
          <w:sz w:val="28"/>
          <w:szCs w:val="28"/>
        </w:rPr>
      </w:pPr>
      <w:r w:rsidRPr="00282DF9">
        <w:rPr>
          <w:rFonts w:cstheme="minorHAnsi"/>
          <w:bCs/>
          <w:sz w:val="28"/>
          <w:szCs w:val="28"/>
        </w:rPr>
        <w:t>O.C.G.A. § 40-5-67.1 requires officers seeking to have a defendant submit to state-administered testing read verbatim the applicable Implied Consent Warnings (“ICW”) at the time of the arrest for DUI.</w:t>
      </w:r>
    </w:p>
    <w:p w14:paraId="6422EEC7" w14:textId="77777777" w:rsidR="00201435" w:rsidRDefault="00282DF9" w:rsidP="00201435">
      <w:pPr>
        <w:pStyle w:val="ListParagraph"/>
        <w:numPr>
          <w:ilvl w:val="2"/>
          <w:numId w:val="5"/>
        </w:numPr>
        <w:spacing w:line="480" w:lineRule="auto"/>
        <w:rPr>
          <w:rFonts w:cstheme="minorHAnsi"/>
          <w:bCs/>
          <w:sz w:val="28"/>
          <w:szCs w:val="28"/>
        </w:rPr>
      </w:pPr>
      <w:r w:rsidRPr="00282DF9">
        <w:rPr>
          <w:rFonts w:cstheme="minorHAnsi"/>
          <w:bCs/>
          <w:sz w:val="28"/>
          <w:szCs w:val="28"/>
        </w:rPr>
        <w:t xml:space="preserve">A part of the statutory ICW in effect when </w:t>
      </w:r>
      <w:r w:rsidRPr="00282DF9">
        <w:rPr>
          <w:rFonts w:cstheme="minorHAnsi"/>
          <w:bCs/>
          <w:i/>
          <w:iCs/>
          <w:sz w:val="28"/>
          <w:szCs w:val="28"/>
        </w:rPr>
        <w:t xml:space="preserve">Elliott </w:t>
      </w:r>
      <w:r w:rsidRPr="00282DF9">
        <w:rPr>
          <w:rFonts w:cstheme="minorHAnsi"/>
          <w:bCs/>
          <w:sz w:val="28"/>
          <w:szCs w:val="28"/>
        </w:rPr>
        <w:t xml:space="preserve">was decided required the officer to advise the defendant, “[y]our refusal to submit to the required testing may be offered into evidence against you at trial.”  However, that statement was actually an incorrect statement of law.  </w:t>
      </w:r>
    </w:p>
    <w:p w14:paraId="4CB5A792" w14:textId="41ACCB43" w:rsidR="00201435" w:rsidRDefault="00282DF9" w:rsidP="00201435">
      <w:pPr>
        <w:pStyle w:val="ListParagraph"/>
        <w:numPr>
          <w:ilvl w:val="2"/>
          <w:numId w:val="5"/>
        </w:numPr>
        <w:spacing w:line="480" w:lineRule="auto"/>
        <w:rPr>
          <w:rFonts w:cstheme="minorHAnsi"/>
          <w:bCs/>
          <w:sz w:val="28"/>
          <w:szCs w:val="28"/>
        </w:rPr>
      </w:pPr>
      <w:r w:rsidRPr="00282DF9">
        <w:rPr>
          <w:rFonts w:cstheme="minorHAnsi"/>
          <w:bCs/>
          <w:sz w:val="28"/>
          <w:szCs w:val="28"/>
        </w:rPr>
        <w:lastRenderedPageBreak/>
        <w:t>The defendant cannot be compelled to perform an incriminating act</w:t>
      </w:r>
      <w:r>
        <w:rPr>
          <w:rFonts w:cstheme="minorHAnsi"/>
          <w:bCs/>
          <w:sz w:val="28"/>
          <w:szCs w:val="28"/>
        </w:rPr>
        <w:t xml:space="preserve"> – see Ga. Const.</w:t>
      </w:r>
      <w:r w:rsidR="00F40E62">
        <w:rPr>
          <w:rFonts w:cstheme="minorHAnsi"/>
          <w:bCs/>
          <w:sz w:val="28"/>
          <w:szCs w:val="28"/>
        </w:rPr>
        <w:t xml:space="preserve"> discussion in Episode #1 of this series</w:t>
      </w:r>
      <w:r w:rsidRPr="00282DF9">
        <w:rPr>
          <w:rFonts w:cstheme="minorHAnsi"/>
          <w:bCs/>
          <w:sz w:val="28"/>
          <w:szCs w:val="28"/>
        </w:rPr>
        <w:t xml:space="preserve">.  </w:t>
      </w:r>
      <w:r w:rsidR="00201435">
        <w:rPr>
          <w:rFonts w:cstheme="minorHAnsi"/>
          <w:bCs/>
          <w:sz w:val="28"/>
          <w:szCs w:val="28"/>
        </w:rPr>
        <w:t>(We discussed a def. charged with armed robbery can elect not to speak with officers and that decision cannot be admitted – no difference for DUI case)</w:t>
      </w:r>
    </w:p>
    <w:p w14:paraId="105E62E0" w14:textId="77777777" w:rsidR="00201435" w:rsidRDefault="00282DF9" w:rsidP="00201435">
      <w:pPr>
        <w:pStyle w:val="ListParagraph"/>
        <w:numPr>
          <w:ilvl w:val="2"/>
          <w:numId w:val="5"/>
        </w:numPr>
        <w:spacing w:line="480" w:lineRule="auto"/>
        <w:rPr>
          <w:rFonts w:cstheme="minorHAnsi"/>
          <w:bCs/>
          <w:sz w:val="28"/>
          <w:szCs w:val="28"/>
        </w:rPr>
      </w:pPr>
      <w:r w:rsidRPr="00282DF9">
        <w:rPr>
          <w:rFonts w:cstheme="minorHAnsi"/>
          <w:bCs/>
          <w:sz w:val="28"/>
          <w:szCs w:val="28"/>
        </w:rPr>
        <w:t xml:space="preserve">His/her decision to exercise that right to refuse testing cannot be introduced at trial.  </w:t>
      </w:r>
    </w:p>
    <w:p w14:paraId="2BCC601C" w14:textId="6FEA7383" w:rsidR="00282DF9" w:rsidRDefault="00282DF9" w:rsidP="00201435">
      <w:pPr>
        <w:pStyle w:val="ListParagraph"/>
        <w:numPr>
          <w:ilvl w:val="2"/>
          <w:numId w:val="5"/>
        </w:numPr>
        <w:spacing w:line="480" w:lineRule="auto"/>
        <w:rPr>
          <w:rFonts w:cstheme="minorHAnsi"/>
          <w:bCs/>
          <w:sz w:val="28"/>
          <w:szCs w:val="28"/>
        </w:rPr>
      </w:pPr>
      <w:r w:rsidRPr="00282DF9">
        <w:rPr>
          <w:rFonts w:cstheme="minorHAnsi"/>
          <w:bCs/>
          <w:sz w:val="28"/>
          <w:szCs w:val="28"/>
        </w:rPr>
        <w:t>Therefore, the defendant was making a decision as to whether he/she would provide a breath sample based upon faulty information.</w:t>
      </w:r>
    </w:p>
    <w:p w14:paraId="16D09EFC" w14:textId="1203198E" w:rsidR="00F40E62" w:rsidRDefault="00F40E62" w:rsidP="00282DF9">
      <w:pPr>
        <w:pStyle w:val="ListParagraph"/>
        <w:numPr>
          <w:ilvl w:val="1"/>
          <w:numId w:val="5"/>
        </w:numPr>
        <w:spacing w:line="480" w:lineRule="auto"/>
        <w:rPr>
          <w:rFonts w:cstheme="minorHAnsi"/>
          <w:bCs/>
          <w:sz w:val="28"/>
          <w:szCs w:val="28"/>
        </w:rPr>
      </w:pPr>
      <w:r w:rsidRPr="00F40E62">
        <w:rPr>
          <w:rFonts w:cstheme="minorHAnsi"/>
          <w:bCs/>
          <w:sz w:val="28"/>
          <w:szCs w:val="28"/>
        </w:rPr>
        <w:t xml:space="preserve">This legal problem forced the </w:t>
      </w:r>
      <w:r w:rsidRPr="00F40E62">
        <w:rPr>
          <w:rFonts w:cstheme="minorHAnsi"/>
          <w:bCs/>
          <w:i/>
          <w:iCs/>
          <w:sz w:val="28"/>
          <w:szCs w:val="28"/>
        </w:rPr>
        <w:t xml:space="preserve">Elliott </w:t>
      </w:r>
      <w:r w:rsidRPr="00F40E62">
        <w:rPr>
          <w:rFonts w:cstheme="minorHAnsi"/>
          <w:bCs/>
          <w:sz w:val="28"/>
          <w:szCs w:val="28"/>
        </w:rPr>
        <w:t>Court to find that “O.C.G.A. §§ 40-5-67.1 and 40-6-392 are unconstitutional to the extent that they allow a defendant’s refusal to submit to a breath test to be admitted into evidence at a criminal trial.”</w:t>
      </w:r>
      <w:r w:rsidRPr="00F40E62">
        <w:rPr>
          <w:rFonts w:cstheme="minorHAnsi"/>
          <w:b/>
          <w:bCs/>
          <w:sz w:val="28"/>
          <w:szCs w:val="28"/>
          <w:vertAlign w:val="superscript"/>
        </w:rPr>
        <w:endnoteReference w:id="3"/>
      </w:r>
    </w:p>
    <w:p w14:paraId="1BF81DA0" w14:textId="4613CDF7" w:rsidR="00F40E62" w:rsidRPr="00F40E62" w:rsidRDefault="00F40E62" w:rsidP="00F40E62">
      <w:pPr>
        <w:spacing w:line="480" w:lineRule="auto"/>
        <w:rPr>
          <w:rFonts w:cstheme="minorHAnsi"/>
          <w:bCs/>
          <w:sz w:val="28"/>
          <w:szCs w:val="28"/>
        </w:rPr>
      </w:pPr>
      <w:r>
        <w:rPr>
          <w:rFonts w:cstheme="minorHAnsi"/>
          <w:b/>
          <w:sz w:val="28"/>
          <w:szCs w:val="28"/>
        </w:rPr>
        <w:pict w14:anchorId="567AF4F2">
          <v:rect id="_x0000_i1079" style="width:0;height:1.5pt" o:hralign="center" o:hrstd="t" o:hr="t" fillcolor="#a0a0a0" stroked="f"/>
        </w:pict>
      </w:r>
    </w:p>
    <w:p w14:paraId="6B0D342B" w14:textId="77777777" w:rsidR="0003349C" w:rsidRDefault="00F40E62" w:rsidP="00053434">
      <w:pPr>
        <w:pStyle w:val="ListParagraph"/>
        <w:numPr>
          <w:ilvl w:val="0"/>
          <w:numId w:val="5"/>
        </w:numPr>
        <w:spacing w:line="480" w:lineRule="auto"/>
        <w:rPr>
          <w:rFonts w:eastAsia="Times New Roman"/>
          <w:sz w:val="28"/>
          <w:szCs w:val="28"/>
        </w:rPr>
      </w:pPr>
      <w:r w:rsidRPr="00053434">
        <w:rPr>
          <w:rFonts w:cstheme="minorHAnsi"/>
          <w:b/>
          <w:i/>
          <w:iCs/>
          <w:sz w:val="28"/>
          <w:szCs w:val="28"/>
        </w:rPr>
        <w:t>ELLIOTT</w:t>
      </w:r>
      <w:r w:rsidRPr="00053434">
        <w:rPr>
          <w:rFonts w:cstheme="minorHAnsi"/>
          <w:b/>
          <w:sz w:val="28"/>
          <w:szCs w:val="28"/>
        </w:rPr>
        <w:t xml:space="preserve"> WAS NOT COMPLETELY UNEXPECTED:</w:t>
      </w:r>
      <w:r>
        <w:rPr>
          <w:rFonts w:cstheme="minorHAnsi"/>
          <w:bCs/>
          <w:sz w:val="28"/>
          <w:szCs w:val="28"/>
        </w:rPr>
        <w:t xml:space="preserve">  </w:t>
      </w:r>
      <w:r w:rsidRPr="00053434">
        <w:rPr>
          <w:rFonts w:cstheme="minorHAnsi"/>
          <w:bCs/>
          <w:sz w:val="28"/>
          <w:szCs w:val="28"/>
        </w:rPr>
        <w:t>In 2015, the</w:t>
      </w:r>
      <w:r w:rsidRPr="00F40E62">
        <w:rPr>
          <w:rFonts w:eastAsia="Times New Roman"/>
          <w:sz w:val="28"/>
          <w:szCs w:val="28"/>
        </w:rPr>
        <w:t xml:space="preserve"> Supreme Court issued their opinion in </w:t>
      </w:r>
      <w:r w:rsidRPr="00F40E62">
        <w:rPr>
          <w:rFonts w:eastAsia="Times New Roman"/>
          <w:i/>
          <w:sz w:val="28"/>
          <w:szCs w:val="28"/>
        </w:rPr>
        <w:t>Williams v. State</w:t>
      </w:r>
      <w:r w:rsidRPr="00F40E62">
        <w:rPr>
          <w:rFonts w:eastAsia="Times New Roman"/>
          <w:sz w:val="28"/>
          <w:szCs w:val="28"/>
        </w:rPr>
        <w:t>.</w:t>
      </w:r>
      <w:r w:rsidRPr="00F40E62">
        <w:rPr>
          <w:rFonts w:eastAsia="Times New Roman"/>
          <w:b/>
          <w:sz w:val="28"/>
          <w:szCs w:val="28"/>
          <w:vertAlign w:val="superscript"/>
        </w:rPr>
        <w:endnoteReference w:id="4"/>
      </w:r>
      <w:r w:rsidRPr="00F40E62">
        <w:rPr>
          <w:rFonts w:eastAsia="Times New Roman"/>
          <w:sz w:val="28"/>
          <w:szCs w:val="28"/>
        </w:rPr>
        <w:t xml:space="preserve">  </w:t>
      </w:r>
    </w:p>
    <w:p w14:paraId="7A9BECAE" w14:textId="03623EBB" w:rsidR="00F40E62" w:rsidRPr="00F40E62" w:rsidRDefault="00F40E62" w:rsidP="0003349C">
      <w:pPr>
        <w:pStyle w:val="ListParagraph"/>
        <w:numPr>
          <w:ilvl w:val="1"/>
          <w:numId w:val="5"/>
        </w:numPr>
        <w:spacing w:line="480" w:lineRule="auto"/>
        <w:rPr>
          <w:rFonts w:eastAsia="Times New Roman"/>
          <w:sz w:val="28"/>
          <w:szCs w:val="28"/>
        </w:rPr>
      </w:pPr>
      <w:r w:rsidRPr="00F40E62">
        <w:rPr>
          <w:rFonts w:eastAsia="Times New Roman"/>
          <w:sz w:val="28"/>
          <w:szCs w:val="28"/>
        </w:rPr>
        <w:t xml:space="preserve">In </w:t>
      </w:r>
      <w:r w:rsidRPr="00F40E62">
        <w:rPr>
          <w:rFonts w:eastAsia="Times New Roman"/>
          <w:i/>
          <w:sz w:val="28"/>
          <w:szCs w:val="28"/>
        </w:rPr>
        <w:t>Williams</w:t>
      </w:r>
      <w:r w:rsidRPr="00F40E62">
        <w:rPr>
          <w:rFonts w:eastAsia="Times New Roman"/>
          <w:sz w:val="28"/>
          <w:szCs w:val="28"/>
        </w:rPr>
        <w:t xml:space="preserve">, the State argued that because a person naturally metabolizes alcohol, the “evidence” of the defendant’s level of intoxication will eventually disappear due to natural metabolism.  Prosecutors argued that the </w:t>
      </w:r>
      <w:r w:rsidRPr="00F40E62">
        <w:rPr>
          <w:rFonts w:eastAsia="Times New Roman"/>
          <w:sz w:val="28"/>
          <w:szCs w:val="28"/>
        </w:rPr>
        <w:lastRenderedPageBreak/>
        <w:t>“exigent circumstances” exception to the Warrant Requirement should be applicable.</w:t>
      </w:r>
      <w:r w:rsidRPr="00F40E62">
        <w:rPr>
          <w:rStyle w:val="EndnoteReference"/>
          <w:rFonts w:eastAsia="Times New Roman"/>
          <w:szCs w:val="28"/>
        </w:rPr>
        <w:endnoteReference w:id="5"/>
      </w:r>
      <w:r w:rsidRPr="00F40E62">
        <w:rPr>
          <w:rFonts w:eastAsia="Times New Roman"/>
          <w:sz w:val="28"/>
          <w:szCs w:val="28"/>
        </w:rPr>
        <w:t xml:space="preserve">  The Court in </w:t>
      </w:r>
      <w:r w:rsidRPr="00F40E62">
        <w:rPr>
          <w:rFonts w:eastAsia="Times New Roman"/>
          <w:i/>
          <w:iCs/>
          <w:sz w:val="28"/>
          <w:szCs w:val="28"/>
        </w:rPr>
        <w:t>Williams</w:t>
      </w:r>
      <w:r w:rsidRPr="00F40E62">
        <w:rPr>
          <w:rFonts w:eastAsia="Times New Roman"/>
          <w:sz w:val="28"/>
          <w:szCs w:val="28"/>
        </w:rPr>
        <w:t xml:space="preserve"> rejected that argument. </w:t>
      </w:r>
    </w:p>
    <w:p w14:paraId="6A20CFB7" w14:textId="77777777" w:rsidR="0003349C" w:rsidRPr="0003349C" w:rsidRDefault="00F40E62" w:rsidP="00053434">
      <w:pPr>
        <w:pStyle w:val="ListParagraph"/>
        <w:numPr>
          <w:ilvl w:val="1"/>
          <w:numId w:val="5"/>
        </w:numPr>
        <w:spacing w:line="480" w:lineRule="auto"/>
        <w:rPr>
          <w:rFonts w:cstheme="minorHAnsi"/>
          <w:bCs/>
          <w:sz w:val="28"/>
          <w:szCs w:val="28"/>
        </w:rPr>
      </w:pPr>
      <w:r w:rsidRPr="00F40E62">
        <w:rPr>
          <w:rFonts w:eastAsia="Times New Roman"/>
          <w:sz w:val="28"/>
          <w:szCs w:val="28"/>
        </w:rPr>
        <w:t>The Supreme Court of Georgia rejected the “exigent circumstances” argument and found that the State must either be granted a search warrant for the defendant’s bodily fluids or obtain the sample under one of the other recognized exceptions to the Warrant Requirement.</w:t>
      </w:r>
      <w:r w:rsidRPr="00F40E62">
        <w:rPr>
          <w:rFonts w:eastAsia="Times New Roman"/>
          <w:b/>
          <w:sz w:val="28"/>
          <w:szCs w:val="28"/>
          <w:vertAlign w:val="superscript"/>
        </w:rPr>
        <w:endnoteReference w:id="6"/>
      </w:r>
      <w:r w:rsidRPr="00F40E62">
        <w:rPr>
          <w:rFonts w:eastAsia="Times New Roman"/>
          <w:sz w:val="28"/>
          <w:szCs w:val="28"/>
        </w:rPr>
        <w:t xml:space="preserve">  </w:t>
      </w:r>
    </w:p>
    <w:p w14:paraId="2D0848FB" w14:textId="74974436" w:rsidR="00053434" w:rsidRPr="00053434" w:rsidRDefault="00F40E62" w:rsidP="0003349C">
      <w:pPr>
        <w:pStyle w:val="ListParagraph"/>
        <w:numPr>
          <w:ilvl w:val="2"/>
          <w:numId w:val="5"/>
        </w:numPr>
        <w:spacing w:line="480" w:lineRule="auto"/>
        <w:rPr>
          <w:rFonts w:cstheme="minorHAnsi"/>
          <w:bCs/>
          <w:sz w:val="28"/>
          <w:szCs w:val="28"/>
        </w:rPr>
      </w:pPr>
      <w:r w:rsidRPr="00F40E62">
        <w:rPr>
          <w:rFonts w:eastAsia="Times New Roman"/>
          <w:sz w:val="28"/>
          <w:szCs w:val="28"/>
        </w:rPr>
        <w:t xml:space="preserve">Of course, one of those recognized exceptions is a search conducted with the consent of the defendant. </w:t>
      </w:r>
    </w:p>
    <w:p w14:paraId="6144E3B9" w14:textId="77777777" w:rsidR="0003349C" w:rsidRPr="0003349C" w:rsidRDefault="0003349C" w:rsidP="00053434">
      <w:pPr>
        <w:pStyle w:val="ListParagraph"/>
        <w:numPr>
          <w:ilvl w:val="1"/>
          <w:numId w:val="5"/>
        </w:numPr>
        <w:spacing w:line="480" w:lineRule="auto"/>
        <w:rPr>
          <w:rFonts w:cstheme="minorHAnsi"/>
          <w:bCs/>
          <w:sz w:val="28"/>
          <w:szCs w:val="28"/>
        </w:rPr>
      </w:pPr>
      <w:r>
        <w:rPr>
          <w:rFonts w:eastAsia="Times New Roman"/>
          <w:b/>
          <w:bCs/>
          <w:sz w:val="28"/>
          <w:szCs w:val="28"/>
        </w:rPr>
        <w:t xml:space="preserve">“Consent” Exception to Warrant Requirement: </w:t>
      </w:r>
      <w:r w:rsidR="00F40E62" w:rsidRPr="00F40E62">
        <w:rPr>
          <w:rFonts w:eastAsia="Times New Roman"/>
          <w:sz w:val="28"/>
          <w:szCs w:val="28"/>
        </w:rPr>
        <w:t>No warrant is required prior to conducting a search where a defendant consents to the search.</w:t>
      </w:r>
      <w:r w:rsidR="00F40E62" w:rsidRPr="00F40E62">
        <w:rPr>
          <w:rStyle w:val="EndnoteReference"/>
          <w:rFonts w:eastAsia="Times New Roman"/>
          <w:szCs w:val="28"/>
        </w:rPr>
        <w:endnoteReference w:id="7"/>
      </w:r>
      <w:r w:rsidR="00F40E62" w:rsidRPr="00F40E62">
        <w:rPr>
          <w:rFonts w:eastAsia="Times New Roman"/>
          <w:sz w:val="28"/>
          <w:szCs w:val="28"/>
        </w:rPr>
        <w:t xml:space="preserve">  However, for that consent to be valid, the consent must be given “freely and voluntarily under the totality of the circumstances.”</w:t>
      </w:r>
      <w:r w:rsidR="00F40E62" w:rsidRPr="00F40E62">
        <w:rPr>
          <w:rFonts w:eastAsia="Times New Roman"/>
          <w:b/>
          <w:sz w:val="28"/>
          <w:szCs w:val="28"/>
          <w:vertAlign w:val="superscript"/>
        </w:rPr>
        <w:endnoteReference w:id="8"/>
      </w:r>
      <w:r w:rsidR="00F40E62" w:rsidRPr="00F40E62">
        <w:rPr>
          <w:rFonts w:eastAsia="Times New Roman"/>
          <w:sz w:val="28"/>
          <w:szCs w:val="28"/>
        </w:rPr>
        <w:t xml:space="preserve">  </w:t>
      </w:r>
    </w:p>
    <w:p w14:paraId="19D4B74C" w14:textId="77777777" w:rsidR="0003349C" w:rsidRPr="0003349C" w:rsidRDefault="00F40E62" w:rsidP="0003349C">
      <w:pPr>
        <w:pStyle w:val="ListParagraph"/>
        <w:numPr>
          <w:ilvl w:val="2"/>
          <w:numId w:val="5"/>
        </w:numPr>
        <w:spacing w:line="480" w:lineRule="auto"/>
        <w:rPr>
          <w:rFonts w:cstheme="minorHAnsi"/>
          <w:bCs/>
          <w:sz w:val="28"/>
          <w:szCs w:val="28"/>
        </w:rPr>
      </w:pPr>
      <w:r w:rsidRPr="00F40E62">
        <w:rPr>
          <w:rFonts w:eastAsia="Times New Roman"/>
          <w:sz w:val="28"/>
          <w:szCs w:val="28"/>
        </w:rPr>
        <w:t>That showing is required in all cases where it is alleged that the defendant consented to a search, whether it is a breath test in a DUI case,</w:t>
      </w:r>
      <w:r w:rsidRPr="00F40E62">
        <w:rPr>
          <w:rStyle w:val="EndnoteReference"/>
          <w:rFonts w:eastAsia="Times New Roman"/>
          <w:szCs w:val="28"/>
        </w:rPr>
        <w:endnoteReference w:id="9"/>
      </w:r>
      <w:r w:rsidRPr="00F40E62">
        <w:rPr>
          <w:rFonts w:eastAsia="Times New Roman"/>
          <w:sz w:val="28"/>
          <w:szCs w:val="28"/>
        </w:rPr>
        <w:t xml:space="preserve"> or a search of a vehicle in a drug case. </w:t>
      </w:r>
    </w:p>
    <w:p w14:paraId="6EB22666" w14:textId="77916EB7" w:rsidR="00F40E62" w:rsidRPr="00F86953" w:rsidRDefault="00F40E62" w:rsidP="0003349C">
      <w:pPr>
        <w:pStyle w:val="ListParagraph"/>
        <w:numPr>
          <w:ilvl w:val="2"/>
          <w:numId w:val="5"/>
        </w:numPr>
        <w:spacing w:line="480" w:lineRule="auto"/>
        <w:rPr>
          <w:rFonts w:cstheme="minorHAnsi"/>
          <w:bCs/>
          <w:sz w:val="28"/>
          <w:szCs w:val="28"/>
        </w:rPr>
      </w:pPr>
      <w:r w:rsidRPr="00F40E62">
        <w:rPr>
          <w:rFonts w:eastAsia="Times New Roman"/>
          <w:sz w:val="28"/>
          <w:szCs w:val="28"/>
        </w:rPr>
        <w:t xml:space="preserve">Therefore, the Court in </w:t>
      </w:r>
      <w:r w:rsidRPr="00F40E62">
        <w:rPr>
          <w:rFonts w:eastAsia="Times New Roman"/>
          <w:i/>
          <w:sz w:val="28"/>
          <w:szCs w:val="28"/>
        </w:rPr>
        <w:t>Williams</w:t>
      </w:r>
      <w:r w:rsidRPr="00F40E62">
        <w:rPr>
          <w:rFonts w:eastAsia="Times New Roman"/>
          <w:sz w:val="28"/>
          <w:szCs w:val="28"/>
        </w:rPr>
        <w:t xml:space="preserve"> remanded the case back to the trial court for a determination of whether the defendant gave “actual consent” to the testing of his blood.  They directed the trial court to conduct a hearing </w:t>
      </w:r>
      <w:r w:rsidRPr="00F40E62">
        <w:rPr>
          <w:rFonts w:eastAsia="Times New Roman"/>
          <w:sz w:val="28"/>
          <w:szCs w:val="28"/>
        </w:rPr>
        <w:lastRenderedPageBreak/>
        <w:t>and determine the voluntariness of the consent under the totality of the circumstances.</w:t>
      </w:r>
      <w:r w:rsidRPr="00F40E62">
        <w:rPr>
          <w:rFonts w:eastAsia="Times New Roman"/>
          <w:b/>
          <w:sz w:val="28"/>
          <w:szCs w:val="28"/>
          <w:vertAlign w:val="superscript"/>
        </w:rPr>
        <w:endnoteReference w:id="10"/>
      </w:r>
    </w:p>
    <w:p w14:paraId="215149CF" w14:textId="148B03F6" w:rsidR="00F86953" w:rsidRPr="00F86953" w:rsidRDefault="00F86953" w:rsidP="00F86953">
      <w:pPr>
        <w:spacing w:line="480" w:lineRule="auto"/>
        <w:rPr>
          <w:rFonts w:cstheme="minorHAnsi"/>
          <w:bCs/>
          <w:sz w:val="28"/>
          <w:szCs w:val="28"/>
        </w:rPr>
      </w:pPr>
      <w:r>
        <w:rPr>
          <w:rFonts w:cstheme="minorHAnsi"/>
          <w:b/>
          <w:sz w:val="28"/>
          <w:szCs w:val="28"/>
        </w:rPr>
        <w:pict w14:anchorId="3FEA249A">
          <v:rect id="_x0000_i1080" style="width:0;height:1.5pt" o:hralign="center" o:hrstd="t" o:hr="t" fillcolor="#a0a0a0" stroked="f"/>
        </w:pict>
      </w:r>
    </w:p>
    <w:p w14:paraId="562AFE36" w14:textId="77777777" w:rsidR="0039605A" w:rsidRDefault="0039605A" w:rsidP="0039605A">
      <w:pPr>
        <w:pStyle w:val="ListParagraph"/>
        <w:numPr>
          <w:ilvl w:val="0"/>
          <w:numId w:val="5"/>
        </w:numPr>
        <w:spacing w:line="480" w:lineRule="auto"/>
        <w:rPr>
          <w:rFonts w:cstheme="minorHAnsi"/>
          <w:bCs/>
          <w:sz w:val="28"/>
          <w:szCs w:val="28"/>
        </w:rPr>
      </w:pPr>
      <w:r w:rsidRPr="0039605A">
        <w:rPr>
          <w:rFonts w:cstheme="minorHAnsi"/>
          <w:bCs/>
          <w:sz w:val="28"/>
          <w:szCs w:val="28"/>
        </w:rPr>
        <w:t xml:space="preserve">The Supreme Court decided the case of </w:t>
      </w:r>
      <w:r w:rsidRPr="0039605A">
        <w:rPr>
          <w:rFonts w:cstheme="minorHAnsi"/>
          <w:bCs/>
          <w:i/>
          <w:iCs/>
          <w:sz w:val="28"/>
          <w:szCs w:val="28"/>
        </w:rPr>
        <w:t>Olevik v. State</w:t>
      </w:r>
      <w:r w:rsidRPr="0039605A">
        <w:rPr>
          <w:rFonts w:cstheme="minorHAnsi"/>
          <w:bCs/>
          <w:sz w:val="28"/>
          <w:szCs w:val="28"/>
        </w:rPr>
        <w:t xml:space="preserve"> in 2017.</w:t>
      </w:r>
      <w:r>
        <w:rPr>
          <w:rStyle w:val="EndnoteReference"/>
          <w:rFonts w:cstheme="minorHAnsi"/>
          <w:bCs/>
          <w:szCs w:val="28"/>
        </w:rPr>
        <w:endnoteReference w:id="11"/>
      </w:r>
      <w:r w:rsidRPr="0039605A">
        <w:rPr>
          <w:rFonts w:cstheme="minorHAnsi"/>
          <w:bCs/>
          <w:sz w:val="28"/>
          <w:szCs w:val="28"/>
        </w:rPr>
        <w:t xml:space="preserve">   The </w:t>
      </w:r>
      <w:r w:rsidRPr="0039605A">
        <w:rPr>
          <w:rFonts w:cstheme="minorHAnsi"/>
          <w:bCs/>
          <w:i/>
          <w:iCs/>
          <w:sz w:val="28"/>
          <w:szCs w:val="28"/>
        </w:rPr>
        <w:t>Olevik</w:t>
      </w:r>
      <w:r w:rsidRPr="0039605A">
        <w:rPr>
          <w:rFonts w:cstheme="minorHAnsi"/>
          <w:bCs/>
          <w:sz w:val="28"/>
          <w:szCs w:val="28"/>
        </w:rPr>
        <w:t xml:space="preserve"> Court found that Georgia’s Constitutional provisions provide more rights than are included in the U.S. Constitution (sound familiar? </w:t>
      </w:r>
      <w:r>
        <w:rPr>
          <w:rFonts w:cstheme="minorHAnsi"/>
          <w:bCs/>
          <w:sz w:val="28"/>
          <w:szCs w:val="28"/>
        </w:rPr>
        <w:t>Listen to episode #1 of this podcast series on DUI law</w:t>
      </w:r>
      <w:r w:rsidRPr="0039605A">
        <w:rPr>
          <w:rFonts w:cstheme="minorHAnsi"/>
          <w:bCs/>
          <w:sz w:val="28"/>
          <w:szCs w:val="28"/>
        </w:rPr>
        <w:t xml:space="preserve">).  </w:t>
      </w:r>
    </w:p>
    <w:p w14:paraId="780BCF8A" w14:textId="69A0CBC6" w:rsidR="0039605A" w:rsidRDefault="0039605A" w:rsidP="0039605A">
      <w:pPr>
        <w:pStyle w:val="ListParagraph"/>
        <w:numPr>
          <w:ilvl w:val="1"/>
          <w:numId w:val="5"/>
        </w:numPr>
        <w:spacing w:line="480" w:lineRule="auto"/>
        <w:rPr>
          <w:rFonts w:cstheme="minorHAnsi"/>
          <w:bCs/>
          <w:sz w:val="28"/>
          <w:szCs w:val="28"/>
        </w:rPr>
      </w:pPr>
      <w:r w:rsidRPr="0039605A">
        <w:rPr>
          <w:rFonts w:cstheme="minorHAnsi"/>
          <w:bCs/>
          <w:sz w:val="28"/>
          <w:szCs w:val="28"/>
        </w:rPr>
        <w:t>Those additional rights include the right to not be required to provide a “deep lung air” sample as part of a criminal investigation.  When the Intoxilyzer 9000 is being used, the defendant must provide “deep lung air” to create a breath sample that is capable of being analyzed by the machine.  It is insufficient for the sample submitted to consist of air captured through “regular” breathing.</w:t>
      </w:r>
      <w:r>
        <w:rPr>
          <w:rStyle w:val="EndnoteReference"/>
          <w:rFonts w:cstheme="minorHAnsi"/>
          <w:bCs/>
          <w:szCs w:val="28"/>
        </w:rPr>
        <w:endnoteReference w:id="12"/>
      </w:r>
      <w:r w:rsidRPr="0039605A">
        <w:rPr>
          <w:rFonts w:cstheme="minorHAnsi"/>
          <w:bCs/>
          <w:sz w:val="28"/>
          <w:szCs w:val="28"/>
        </w:rPr>
        <w:t xml:space="preserve">   </w:t>
      </w:r>
    </w:p>
    <w:p w14:paraId="5B83AD56" w14:textId="6BA80399" w:rsidR="0039605A" w:rsidRDefault="0039605A" w:rsidP="0039605A">
      <w:pPr>
        <w:pStyle w:val="ListParagraph"/>
        <w:numPr>
          <w:ilvl w:val="1"/>
          <w:numId w:val="5"/>
        </w:numPr>
        <w:spacing w:line="480" w:lineRule="auto"/>
        <w:rPr>
          <w:rFonts w:cstheme="minorHAnsi"/>
          <w:bCs/>
          <w:sz w:val="28"/>
          <w:szCs w:val="28"/>
        </w:rPr>
      </w:pPr>
      <w:r w:rsidRPr="0039605A">
        <w:rPr>
          <w:rFonts w:cstheme="minorHAnsi"/>
          <w:bCs/>
          <w:sz w:val="28"/>
          <w:szCs w:val="28"/>
        </w:rPr>
        <w:t xml:space="preserve">The </w:t>
      </w:r>
      <w:r w:rsidRPr="0039605A">
        <w:rPr>
          <w:rFonts w:cstheme="minorHAnsi"/>
          <w:bCs/>
          <w:i/>
          <w:iCs/>
          <w:sz w:val="28"/>
          <w:szCs w:val="28"/>
        </w:rPr>
        <w:t xml:space="preserve">Olevik </w:t>
      </w:r>
      <w:r w:rsidRPr="0039605A">
        <w:rPr>
          <w:rFonts w:cstheme="minorHAnsi"/>
          <w:bCs/>
          <w:sz w:val="28"/>
          <w:szCs w:val="28"/>
        </w:rPr>
        <w:t>Court reaffirmed its prior decisions that provided that there is no constitutional violation where a defendant is compelled only to be present so that incriminating evidence can be procured from him/her.</w:t>
      </w:r>
      <w:r w:rsidR="00F86953">
        <w:rPr>
          <w:rStyle w:val="EndnoteReference"/>
          <w:rFonts w:cstheme="minorHAnsi"/>
          <w:bCs/>
          <w:szCs w:val="28"/>
        </w:rPr>
        <w:endnoteReference w:id="13"/>
      </w:r>
      <w:r w:rsidRPr="0039605A">
        <w:rPr>
          <w:rFonts w:cstheme="minorHAnsi"/>
          <w:bCs/>
          <w:sz w:val="28"/>
          <w:szCs w:val="28"/>
        </w:rPr>
        <w:t xml:space="preserve">   However, requiring the defendant to perform an act (i.e. sustained blowing into a machine) is unconstitutional under the </w:t>
      </w:r>
      <w:r w:rsidRPr="00F86953">
        <w:rPr>
          <w:rFonts w:cstheme="minorHAnsi"/>
          <w:b/>
          <w:sz w:val="28"/>
          <w:szCs w:val="28"/>
          <w:u w:val="single"/>
        </w:rPr>
        <w:t>Georgia</w:t>
      </w:r>
      <w:r w:rsidRPr="0039605A">
        <w:rPr>
          <w:rFonts w:cstheme="minorHAnsi"/>
          <w:bCs/>
          <w:sz w:val="28"/>
          <w:szCs w:val="28"/>
        </w:rPr>
        <w:t xml:space="preserve"> Constitution.  </w:t>
      </w:r>
    </w:p>
    <w:p w14:paraId="1EA5DD76" w14:textId="77777777" w:rsidR="00F86953" w:rsidRDefault="0039605A" w:rsidP="0039605A">
      <w:pPr>
        <w:pStyle w:val="ListParagraph"/>
        <w:numPr>
          <w:ilvl w:val="2"/>
          <w:numId w:val="5"/>
        </w:numPr>
        <w:spacing w:line="480" w:lineRule="auto"/>
        <w:rPr>
          <w:rFonts w:cstheme="minorHAnsi"/>
          <w:bCs/>
          <w:sz w:val="28"/>
          <w:szCs w:val="28"/>
        </w:rPr>
      </w:pPr>
      <w:r w:rsidRPr="0039605A">
        <w:rPr>
          <w:rFonts w:cstheme="minorHAnsi"/>
          <w:bCs/>
          <w:sz w:val="28"/>
          <w:szCs w:val="28"/>
        </w:rPr>
        <w:lastRenderedPageBreak/>
        <w:t>“In sum, Paragraph XVI prohibits compelling a suspect to perform an act that itself generates incriminating evidence; it does not prohibit compelling a suspect to be present so that another person may perform an act generating such evidence.”</w:t>
      </w:r>
      <w:r w:rsidR="00F86953">
        <w:rPr>
          <w:rStyle w:val="EndnoteReference"/>
          <w:rFonts w:cstheme="minorHAnsi"/>
          <w:bCs/>
          <w:szCs w:val="28"/>
        </w:rPr>
        <w:endnoteReference w:id="14"/>
      </w:r>
      <w:r w:rsidRPr="0039605A">
        <w:rPr>
          <w:rFonts w:cstheme="minorHAnsi"/>
          <w:bCs/>
          <w:sz w:val="28"/>
          <w:szCs w:val="28"/>
        </w:rPr>
        <w:t xml:space="preserve">   </w:t>
      </w:r>
    </w:p>
    <w:p w14:paraId="12EE1DDB" w14:textId="484BCA8A" w:rsidR="0039605A" w:rsidRPr="0039605A" w:rsidRDefault="0039605A" w:rsidP="0039605A">
      <w:pPr>
        <w:pStyle w:val="ListParagraph"/>
        <w:numPr>
          <w:ilvl w:val="2"/>
          <w:numId w:val="5"/>
        </w:numPr>
        <w:spacing w:line="480" w:lineRule="auto"/>
        <w:rPr>
          <w:rFonts w:cstheme="minorHAnsi"/>
          <w:bCs/>
          <w:sz w:val="28"/>
          <w:szCs w:val="28"/>
        </w:rPr>
      </w:pPr>
      <w:r w:rsidRPr="0039605A">
        <w:rPr>
          <w:rFonts w:cstheme="minorHAnsi"/>
          <w:bCs/>
          <w:sz w:val="28"/>
          <w:szCs w:val="28"/>
        </w:rPr>
        <w:t xml:space="preserve">The </w:t>
      </w:r>
      <w:r w:rsidRPr="00F86953">
        <w:rPr>
          <w:rFonts w:cstheme="minorHAnsi"/>
          <w:bCs/>
          <w:i/>
          <w:iCs/>
          <w:sz w:val="28"/>
          <w:szCs w:val="28"/>
        </w:rPr>
        <w:t>Olevik</w:t>
      </w:r>
      <w:r w:rsidRPr="0039605A">
        <w:rPr>
          <w:rFonts w:cstheme="minorHAnsi"/>
          <w:bCs/>
          <w:sz w:val="28"/>
          <w:szCs w:val="28"/>
        </w:rPr>
        <w:t xml:space="preserve"> Court found that requiring a defendant to perform the act of blowing into a machine with sufficient volume to produce a sample adequate for testing is different from requiring the defendant to be present and have a blood sample taken.  The Court also made another important point.  </w:t>
      </w:r>
    </w:p>
    <w:p w14:paraId="53FC1839" w14:textId="3F0C9B74" w:rsidR="0039605A" w:rsidRDefault="00F86953" w:rsidP="00F86953">
      <w:pPr>
        <w:pStyle w:val="ListParagraph"/>
        <w:numPr>
          <w:ilvl w:val="1"/>
          <w:numId w:val="5"/>
        </w:numPr>
        <w:spacing w:line="480" w:lineRule="auto"/>
        <w:rPr>
          <w:rFonts w:cstheme="minorHAnsi"/>
          <w:bCs/>
          <w:sz w:val="28"/>
          <w:szCs w:val="28"/>
        </w:rPr>
      </w:pPr>
      <w:r>
        <w:rPr>
          <w:rFonts w:cstheme="minorHAnsi"/>
          <w:bCs/>
          <w:sz w:val="28"/>
          <w:szCs w:val="28"/>
        </w:rPr>
        <w:t>“</w:t>
      </w:r>
      <w:r w:rsidR="0039605A" w:rsidRPr="0039605A">
        <w:rPr>
          <w:rFonts w:cstheme="minorHAnsi"/>
          <w:bCs/>
          <w:sz w:val="28"/>
          <w:szCs w:val="28"/>
        </w:rPr>
        <w:t>It is important to recognize that while these situations do not implicate the right against compelled self-incrimination, the taking of physical evidence from a suspect often will constitute a search under the Fourth Amendment and Paragraph XIII, for which a warrant or an exception to the warrant requirement, such as consent or search incident to arrest, is required.</w:t>
      </w:r>
      <w:r>
        <w:rPr>
          <w:rFonts w:cstheme="minorHAnsi"/>
          <w:bCs/>
          <w:sz w:val="28"/>
          <w:szCs w:val="28"/>
        </w:rPr>
        <w:t>”</w:t>
      </w:r>
      <w:r>
        <w:rPr>
          <w:rStyle w:val="EndnoteReference"/>
          <w:rFonts w:cstheme="minorHAnsi"/>
          <w:bCs/>
          <w:szCs w:val="28"/>
        </w:rPr>
        <w:endnoteReference w:id="15"/>
      </w:r>
      <w:r w:rsidR="0039605A" w:rsidRPr="0039605A">
        <w:rPr>
          <w:rFonts w:cstheme="minorHAnsi"/>
          <w:bCs/>
          <w:sz w:val="28"/>
          <w:szCs w:val="28"/>
        </w:rPr>
        <w:t xml:space="preserve"> </w:t>
      </w:r>
    </w:p>
    <w:p w14:paraId="61B48642" w14:textId="5ABCE748" w:rsidR="00344659" w:rsidRPr="00344659" w:rsidRDefault="00344659" w:rsidP="00344659">
      <w:pPr>
        <w:spacing w:line="480" w:lineRule="auto"/>
        <w:rPr>
          <w:rFonts w:cstheme="minorHAnsi"/>
          <w:bCs/>
          <w:sz w:val="28"/>
          <w:szCs w:val="28"/>
        </w:rPr>
      </w:pPr>
      <w:r>
        <w:rPr>
          <w:rFonts w:cstheme="minorHAnsi"/>
          <w:b/>
          <w:sz w:val="28"/>
          <w:szCs w:val="28"/>
        </w:rPr>
        <w:pict w14:anchorId="6D406704">
          <v:rect id="_x0000_i1081" style="width:0;height:1.5pt" o:hralign="center" o:hrstd="t" o:hr="t" fillcolor="#a0a0a0" stroked="f"/>
        </w:pict>
      </w:r>
    </w:p>
    <w:p w14:paraId="47873B69" w14:textId="77777777" w:rsidR="00344659" w:rsidRDefault="0039605A" w:rsidP="0039605A">
      <w:pPr>
        <w:pStyle w:val="ListParagraph"/>
        <w:numPr>
          <w:ilvl w:val="0"/>
          <w:numId w:val="5"/>
        </w:numPr>
        <w:spacing w:line="480" w:lineRule="auto"/>
        <w:rPr>
          <w:rFonts w:cstheme="minorHAnsi"/>
          <w:bCs/>
          <w:sz w:val="28"/>
          <w:szCs w:val="28"/>
        </w:rPr>
      </w:pPr>
      <w:r w:rsidRPr="0039605A">
        <w:rPr>
          <w:rFonts w:cstheme="minorHAnsi"/>
          <w:bCs/>
          <w:sz w:val="28"/>
          <w:szCs w:val="28"/>
        </w:rPr>
        <w:t xml:space="preserve">In short, the Supreme Court had been narrowing the scope and admissibility of state-administered testing for several years before deciding </w:t>
      </w:r>
      <w:r w:rsidRPr="00344659">
        <w:rPr>
          <w:rFonts w:cstheme="minorHAnsi"/>
          <w:bCs/>
          <w:i/>
          <w:iCs/>
          <w:sz w:val="28"/>
          <w:szCs w:val="28"/>
        </w:rPr>
        <w:t>Elliott</w:t>
      </w:r>
      <w:r w:rsidRPr="0039605A">
        <w:rPr>
          <w:rFonts w:cstheme="minorHAnsi"/>
          <w:bCs/>
          <w:sz w:val="28"/>
          <w:szCs w:val="28"/>
        </w:rPr>
        <w:t xml:space="preserve">.  The decisions in </w:t>
      </w:r>
      <w:r w:rsidRPr="00344659">
        <w:rPr>
          <w:rFonts w:cstheme="minorHAnsi"/>
          <w:bCs/>
          <w:i/>
          <w:iCs/>
          <w:sz w:val="28"/>
          <w:szCs w:val="28"/>
        </w:rPr>
        <w:t>Olevik</w:t>
      </w:r>
      <w:r w:rsidRPr="0039605A">
        <w:rPr>
          <w:rFonts w:cstheme="minorHAnsi"/>
          <w:bCs/>
          <w:sz w:val="28"/>
          <w:szCs w:val="28"/>
        </w:rPr>
        <w:t xml:space="preserve"> and </w:t>
      </w:r>
      <w:r w:rsidRPr="00344659">
        <w:rPr>
          <w:rFonts w:cstheme="minorHAnsi"/>
          <w:bCs/>
          <w:i/>
          <w:iCs/>
          <w:sz w:val="28"/>
          <w:szCs w:val="28"/>
        </w:rPr>
        <w:t>Elliott</w:t>
      </w:r>
      <w:r w:rsidRPr="0039605A">
        <w:rPr>
          <w:rFonts w:cstheme="minorHAnsi"/>
          <w:bCs/>
          <w:sz w:val="28"/>
          <w:szCs w:val="28"/>
        </w:rPr>
        <w:t xml:space="preserve"> made references to prior cases where the Supreme Court found several aspects of the existing ICW to be problematic.</w:t>
      </w:r>
    </w:p>
    <w:p w14:paraId="7F8CFE30" w14:textId="77777777" w:rsidR="003D27E1" w:rsidRDefault="0039605A" w:rsidP="00344659">
      <w:pPr>
        <w:pStyle w:val="ListParagraph"/>
        <w:numPr>
          <w:ilvl w:val="1"/>
          <w:numId w:val="5"/>
        </w:numPr>
        <w:spacing w:line="480" w:lineRule="auto"/>
        <w:rPr>
          <w:rFonts w:cstheme="minorHAnsi"/>
          <w:bCs/>
          <w:sz w:val="28"/>
          <w:szCs w:val="28"/>
        </w:rPr>
      </w:pPr>
      <w:r w:rsidRPr="0039605A">
        <w:rPr>
          <w:rFonts w:cstheme="minorHAnsi"/>
          <w:bCs/>
          <w:sz w:val="28"/>
          <w:szCs w:val="28"/>
        </w:rPr>
        <w:lastRenderedPageBreak/>
        <w:t xml:space="preserve">Specifically, the Court noted that the portions of the ICW that inform a driver that her refusal to submit to testing could be offered into evidence and that refusal </w:t>
      </w:r>
      <w:r w:rsidR="00344659">
        <w:rPr>
          <w:rFonts w:cstheme="minorHAnsi"/>
          <w:bCs/>
          <w:sz w:val="28"/>
          <w:szCs w:val="28"/>
        </w:rPr>
        <w:t>“</w:t>
      </w:r>
      <w:r w:rsidRPr="0039605A">
        <w:rPr>
          <w:rFonts w:cstheme="minorHAnsi"/>
          <w:bCs/>
          <w:sz w:val="28"/>
          <w:szCs w:val="28"/>
        </w:rPr>
        <w:t>may lead to a driver’s license suspension</w:t>
      </w:r>
      <w:r w:rsidR="00344659">
        <w:rPr>
          <w:rFonts w:cstheme="minorHAnsi"/>
          <w:bCs/>
          <w:sz w:val="28"/>
          <w:szCs w:val="28"/>
        </w:rPr>
        <w:t>”</w:t>
      </w:r>
      <w:r w:rsidRPr="0039605A">
        <w:rPr>
          <w:rFonts w:cstheme="minorHAnsi"/>
          <w:bCs/>
          <w:sz w:val="28"/>
          <w:szCs w:val="28"/>
        </w:rPr>
        <w:t xml:space="preserve"> (as opposed to </w:t>
      </w:r>
      <w:r w:rsidR="00344659">
        <w:rPr>
          <w:rFonts w:cstheme="minorHAnsi"/>
          <w:bCs/>
          <w:sz w:val="28"/>
          <w:szCs w:val="28"/>
        </w:rPr>
        <w:t>“</w:t>
      </w:r>
      <w:r w:rsidRPr="0039605A">
        <w:rPr>
          <w:rFonts w:cstheme="minorHAnsi"/>
          <w:bCs/>
          <w:sz w:val="28"/>
          <w:szCs w:val="28"/>
        </w:rPr>
        <w:t>shall result in suspension</w:t>
      </w:r>
      <w:r w:rsidR="00344659">
        <w:rPr>
          <w:rFonts w:cstheme="minorHAnsi"/>
          <w:bCs/>
          <w:sz w:val="28"/>
          <w:szCs w:val="28"/>
        </w:rPr>
        <w:t>”</w:t>
      </w:r>
      <w:r w:rsidRPr="0039605A">
        <w:rPr>
          <w:rFonts w:cstheme="minorHAnsi"/>
          <w:bCs/>
          <w:sz w:val="28"/>
          <w:szCs w:val="28"/>
        </w:rPr>
        <w:t xml:space="preserve">) were problematic for the Court. </w:t>
      </w:r>
    </w:p>
    <w:p w14:paraId="12F2555B" w14:textId="288C66CF" w:rsidR="003D27E1" w:rsidRDefault="003D27E1" w:rsidP="003D27E1">
      <w:pPr>
        <w:spacing w:line="480" w:lineRule="auto"/>
        <w:rPr>
          <w:rFonts w:cstheme="minorHAnsi"/>
          <w:bCs/>
          <w:sz w:val="28"/>
          <w:szCs w:val="28"/>
        </w:rPr>
      </w:pPr>
      <w:r>
        <w:rPr>
          <w:rFonts w:cstheme="minorHAnsi"/>
          <w:b/>
          <w:sz w:val="28"/>
          <w:szCs w:val="28"/>
        </w:rPr>
        <w:pict w14:anchorId="57746D27">
          <v:rect id="_x0000_i1082" style="width:0;height:1.5pt" o:hralign="center" o:hrstd="t" o:hr="t" fillcolor="#a0a0a0" stroked="f"/>
        </w:pict>
      </w:r>
    </w:p>
    <w:p w14:paraId="71D2293B" w14:textId="48197A1B" w:rsidR="003D27E1" w:rsidRDefault="00344659" w:rsidP="003D27E1">
      <w:pPr>
        <w:pStyle w:val="ListParagraph"/>
        <w:numPr>
          <w:ilvl w:val="0"/>
          <w:numId w:val="5"/>
        </w:numPr>
        <w:spacing w:line="480" w:lineRule="auto"/>
        <w:rPr>
          <w:rFonts w:eastAsia="Times New Roman"/>
          <w:sz w:val="28"/>
          <w:szCs w:val="28"/>
        </w:rPr>
      </w:pPr>
      <w:r w:rsidRPr="003D27E1">
        <w:rPr>
          <w:rFonts w:eastAsia="Times New Roman"/>
          <w:sz w:val="28"/>
          <w:szCs w:val="28"/>
        </w:rPr>
        <w:t xml:space="preserve">The </w:t>
      </w:r>
      <w:r w:rsidR="003D27E1">
        <w:rPr>
          <w:rFonts w:eastAsia="Times New Roman"/>
          <w:sz w:val="28"/>
          <w:szCs w:val="28"/>
        </w:rPr>
        <w:t xml:space="preserve">majority </w:t>
      </w:r>
      <w:r w:rsidRPr="003D27E1">
        <w:rPr>
          <w:rFonts w:eastAsia="Times New Roman"/>
          <w:sz w:val="28"/>
          <w:szCs w:val="28"/>
        </w:rPr>
        <w:t xml:space="preserve">decision and the concurring opinion in </w:t>
      </w:r>
      <w:r w:rsidRPr="003D27E1">
        <w:rPr>
          <w:rFonts w:eastAsia="Times New Roman"/>
          <w:i/>
          <w:sz w:val="28"/>
          <w:szCs w:val="28"/>
        </w:rPr>
        <w:t>Elliott</w:t>
      </w:r>
      <w:r w:rsidRPr="003D27E1">
        <w:rPr>
          <w:rFonts w:eastAsia="Times New Roman"/>
          <w:sz w:val="28"/>
          <w:szCs w:val="28"/>
        </w:rPr>
        <w:t xml:space="preserve"> both hold that this decision only affects cases involving </w:t>
      </w:r>
      <w:r w:rsidRPr="003D27E1">
        <w:rPr>
          <w:rFonts w:eastAsia="Times New Roman"/>
          <w:b/>
          <w:i/>
          <w:sz w:val="28"/>
          <w:szCs w:val="28"/>
        </w:rPr>
        <w:t>breath</w:t>
      </w:r>
      <w:r w:rsidRPr="003D27E1">
        <w:rPr>
          <w:rFonts w:eastAsia="Times New Roman"/>
          <w:sz w:val="28"/>
          <w:szCs w:val="28"/>
        </w:rPr>
        <w:t xml:space="preserve"> testing and does not impact </w:t>
      </w:r>
      <w:r w:rsidRPr="003D27E1">
        <w:rPr>
          <w:rFonts w:eastAsia="Times New Roman"/>
          <w:b/>
          <w:i/>
          <w:sz w:val="28"/>
          <w:szCs w:val="28"/>
        </w:rPr>
        <w:t>blood</w:t>
      </w:r>
      <w:r w:rsidRPr="003D27E1">
        <w:rPr>
          <w:rFonts w:eastAsia="Times New Roman"/>
          <w:sz w:val="28"/>
          <w:szCs w:val="28"/>
        </w:rPr>
        <w:t xml:space="preserve"> testing.</w:t>
      </w:r>
    </w:p>
    <w:p w14:paraId="4A90CA34" w14:textId="77777777" w:rsidR="003D27E1" w:rsidRDefault="00344659" w:rsidP="003D27E1">
      <w:pPr>
        <w:pStyle w:val="ListParagraph"/>
        <w:numPr>
          <w:ilvl w:val="1"/>
          <w:numId w:val="5"/>
        </w:numPr>
        <w:spacing w:line="480" w:lineRule="auto"/>
        <w:rPr>
          <w:rFonts w:eastAsia="Times New Roman"/>
          <w:sz w:val="28"/>
          <w:szCs w:val="28"/>
        </w:rPr>
      </w:pPr>
      <w:r w:rsidRPr="003D27E1">
        <w:rPr>
          <w:rFonts w:eastAsia="Times New Roman"/>
          <w:sz w:val="28"/>
          <w:szCs w:val="28"/>
        </w:rPr>
        <w:t xml:space="preserve">Footnote 30 of the majority opinion </w:t>
      </w:r>
      <w:r w:rsidR="003D27E1">
        <w:rPr>
          <w:rFonts w:eastAsia="Times New Roman"/>
          <w:sz w:val="28"/>
          <w:szCs w:val="28"/>
        </w:rPr>
        <w:t xml:space="preserve">in </w:t>
      </w:r>
      <w:r w:rsidR="003D27E1">
        <w:rPr>
          <w:rFonts w:eastAsia="Times New Roman"/>
          <w:i/>
          <w:iCs/>
          <w:sz w:val="28"/>
          <w:szCs w:val="28"/>
        </w:rPr>
        <w:t>Elliott</w:t>
      </w:r>
      <w:r w:rsidR="003D27E1">
        <w:rPr>
          <w:rFonts w:eastAsia="Times New Roman"/>
          <w:sz w:val="28"/>
          <w:szCs w:val="28"/>
        </w:rPr>
        <w:t xml:space="preserve"> </w:t>
      </w:r>
      <w:r w:rsidRPr="003D27E1">
        <w:rPr>
          <w:rFonts w:eastAsia="Times New Roman"/>
          <w:sz w:val="28"/>
          <w:szCs w:val="28"/>
        </w:rPr>
        <w:t xml:space="preserve">states, “Although as we discussed in </w:t>
      </w:r>
      <w:r w:rsidRPr="003D27E1">
        <w:rPr>
          <w:rFonts w:eastAsia="Times New Roman"/>
          <w:i/>
          <w:sz w:val="28"/>
          <w:szCs w:val="28"/>
        </w:rPr>
        <w:t>Olevik</w:t>
      </w:r>
      <w:r w:rsidRPr="003D27E1">
        <w:rPr>
          <w:rFonts w:eastAsia="Times New Roman"/>
          <w:sz w:val="28"/>
          <w:szCs w:val="28"/>
        </w:rPr>
        <w:t xml:space="preserve">, this Paragraph XVI analysis is limited to breath tests.” (cits omitted)  </w:t>
      </w:r>
    </w:p>
    <w:p w14:paraId="76B5758D" w14:textId="2684AA94" w:rsidR="00344659" w:rsidRPr="003D27E1" w:rsidRDefault="00344659" w:rsidP="003D27E1">
      <w:pPr>
        <w:pStyle w:val="ListParagraph"/>
        <w:numPr>
          <w:ilvl w:val="1"/>
          <w:numId w:val="5"/>
        </w:numPr>
        <w:spacing w:line="480" w:lineRule="auto"/>
        <w:rPr>
          <w:rFonts w:eastAsia="Times New Roman"/>
          <w:sz w:val="28"/>
          <w:szCs w:val="28"/>
        </w:rPr>
      </w:pPr>
      <w:r w:rsidRPr="003D27E1">
        <w:rPr>
          <w:rFonts w:eastAsia="Times New Roman"/>
          <w:sz w:val="28"/>
          <w:szCs w:val="28"/>
        </w:rPr>
        <w:t xml:space="preserve">They note that in </w:t>
      </w:r>
      <w:r w:rsidRPr="003D27E1">
        <w:rPr>
          <w:rFonts w:eastAsia="Times New Roman"/>
          <w:i/>
          <w:sz w:val="28"/>
          <w:szCs w:val="28"/>
        </w:rPr>
        <w:t>Olevik</w:t>
      </w:r>
      <w:r w:rsidRPr="003D27E1">
        <w:rPr>
          <w:rFonts w:eastAsia="Times New Roman"/>
          <w:sz w:val="28"/>
          <w:szCs w:val="28"/>
        </w:rPr>
        <w:t xml:space="preserve">, they held “’Nothing we say here should be understood as casting any doubt on </w:t>
      </w:r>
      <w:r w:rsidRPr="003D27E1">
        <w:rPr>
          <w:rFonts w:eastAsia="Times New Roman"/>
          <w:i/>
          <w:sz w:val="28"/>
          <w:szCs w:val="28"/>
        </w:rPr>
        <w:t>Strong’s’</w:t>
      </w:r>
      <w:r w:rsidRPr="003D27E1">
        <w:rPr>
          <w:rFonts w:eastAsia="Times New Roman"/>
          <w:sz w:val="28"/>
          <w:szCs w:val="28"/>
        </w:rPr>
        <w:t xml:space="preserve"> holding that Paragraph XVI was not implicated by a blood test.”</w:t>
      </w:r>
      <w:r w:rsidRPr="003D27E1">
        <w:rPr>
          <w:rFonts w:eastAsia="Times New Roman"/>
          <w:b/>
          <w:sz w:val="28"/>
          <w:szCs w:val="28"/>
          <w:vertAlign w:val="superscript"/>
        </w:rPr>
        <w:endnoteReference w:id="16"/>
      </w:r>
      <w:r w:rsidRPr="003D27E1">
        <w:rPr>
          <w:rFonts w:eastAsia="Times New Roman"/>
          <w:sz w:val="28"/>
          <w:szCs w:val="28"/>
        </w:rPr>
        <w:t xml:space="preserve">  The concurring opinion noted, “[T]he scope of these decisions is limited to chemical tests of a driver’s breath; they do not apply to tests of a driver’s blood.”</w:t>
      </w:r>
      <w:r w:rsidRPr="003D27E1">
        <w:rPr>
          <w:rFonts w:eastAsia="Times New Roman"/>
          <w:b/>
          <w:sz w:val="28"/>
          <w:szCs w:val="28"/>
          <w:vertAlign w:val="superscript"/>
        </w:rPr>
        <w:endnoteReference w:id="17"/>
      </w:r>
    </w:p>
    <w:p w14:paraId="2A3295B3" w14:textId="77777777" w:rsidR="003D27E1" w:rsidRPr="003D27E1" w:rsidRDefault="00344659" w:rsidP="003D27E1">
      <w:pPr>
        <w:pStyle w:val="ListParagraph"/>
        <w:numPr>
          <w:ilvl w:val="1"/>
          <w:numId w:val="5"/>
        </w:numPr>
        <w:spacing w:line="480" w:lineRule="auto"/>
        <w:rPr>
          <w:rFonts w:cstheme="minorHAnsi"/>
          <w:bCs/>
          <w:sz w:val="28"/>
          <w:szCs w:val="28"/>
        </w:rPr>
      </w:pPr>
      <w:r w:rsidRPr="003D27E1">
        <w:rPr>
          <w:rFonts w:eastAsia="Times New Roman"/>
          <w:sz w:val="28"/>
          <w:szCs w:val="28"/>
        </w:rPr>
        <w:t xml:space="preserve">Stated another way, taking blood from a suspect does not require the suspect to give self-incriminating “testimony” under the Georgia Constitution.  The cases on this subject make a large distinction between requiring a suspect to </w:t>
      </w:r>
      <w:r w:rsidRPr="003D27E1">
        <w:rPr>
          <w:rFonts w:eastAsia="Times New Roman"/>
          <w:sz w:val="28"/>
          <w:szCs w:val="28"/>
        </w:rPr>
        <w:lastRenderedPageBreak/>
        <w:t xml:space="preserve">“testify” by performing an act (like providing a deep lung breath sample) and requiring a suspect to present himself for the authorities to collect naturally occurring evidence such as blood.  </w:t>
      </w:r>
    </w:p>
    <w:p w14:paraId="075C304C" w14:textId="722B1673" w:rsidR="00344659" w:rsidRPr="00ED311A" w:rsidRDefault="00344659" w:rsidP="003D27E1">
      <w:pPr>
        <w:pStyle w:val="ListParagraph"/>
        <w:numPr>
          <w:ilvl w:val="1"/>
          <w:numId w:val="5"/>
        </w:numPr>
        <w:spacing w:line="480" w:lineRule="auto"/>
        <w:rPr>
          <w:rFonts w:cstheme="minorHAnsi"/>
          <w:bCs/>
          <w:sz w:val="28"/>
          <w:szCs w:val="28"/>
        </w:rPr>
      </w:pPr>
      <w:r w:rsidRPr="003D27E1">
        <w:rPr>
          <w:rFonts w:eastAsia="Times New Roman"/>
          <w:sz w:val="28"/>
          <w:szCs w:val="28"/>
        </w:rPr>
        <w:t>However, those decisions addressed compelled breath tests (</w:t>
      </w:r>
      <w:r w:rsidRPr="003D27E1">
        <w:rPr>
          <w:rFonts w:eastAsia="Times New Roman"/>
          <w:i/>
          <w:iCs/>
          <w:sz w:val="28"/>
          <w:szCs w:val="28"/>
        </w:rPr>
        <w:t>Olevik</w:t>
      </w:r>
      <w:r w:rsidRPr="003D27E1">
        <w:rPr>
          <w:rFonts w:eastAsia="Times New Roman"/>
          <w:sz w:val="28"/>
          <w:szCs w:val="28"/>
        </w:rPr>
        <w:t>) and refusal to submit to compelled breath tests (</w:t>
      </w:r>
      <w:r w:rsidRPr="003D27E1">
        <w:rPr>
          <w:rFonts w:eastAsia="Times New Roman"/>
          <w:i/>
          <w:iCs/>
          <w:sz w:val="28"/>
          <w:szCs w:val="28"/>
        </w:rPr>
        <w:t>Elliott</w:t>
      </w:r>
      <w:r w:rsidRPr="003D27E1">
        <w:rPr>
          <w:rFonts w:eastAsia="Times New Roman"/>
          <w:sz w:val="28"/>
          <w:szCs w:val="28"/>
        </w:rPr>
        <w:t>).  There remained a question as to how the law would treat urine tests, the third available state-administered testing option.  That question has now been answered.</w:t>
      </w:r>
    </w:p>
    <w:p w14:paraId="7A093149" w14:textId="468A6F2D" w:rsidR="00ED311A" w:rsidRPr="00ED311A" w:rsidRDefault="00ED311A" w:rsidP="00ED311A">
      <w:pPr>
        <w:spacing w:line="480" w:lineRule="auto"/>
        <w:rPr>
          <w:rFonts w:cstheme="minorHAnsi"/>
          <w:bCs/>
          <w:sz w:val="28"/>
          <w:szCs w:val="28"/>
        </w:rPr>
      </w:pPr>
      <w:r>
        <w:rPr>
          <w:rFonts w:cstheme="minorHAnsi"/>
          <w:b/>
          <w:sz w:val="28"/>
          <w:szCs w:val="28"/>
        </w:rPr>
        <w:pict w14:anchorId="435FA003">
          <v:rect id="_x0000_i1083" style="width:0;height:1.5pt" o:hralign="center" o:hrstd="t" o:hr="t" fillcolor="#a0a0a0" stroked="f"/>
        </w:pict>
      </w:r>
    </w:p>
    <w:p w14:paraId="76E96F6D" w14:textId="77777777" w:rsidR="00ED311A" w:rsidRDefault="003D27E1" w:rsidP="003D27E1">
      <w:pPr>
        <w:pStyle w:val="ListParagraph"/>
        <w:numPr>
          <w:ilvl w:val="0"/>
          <w:numId w:val="5"/>
        </w:numPr>
        <w:spacing w:line="480" w:lineRule="auto"/>
        <w:rPr>
          <w:rFonts w:eastAsia="Times New Roman"/>
          <w:sz w:val="28"/>
          <w:szCs w:val="28"/>
        </w:rPr>
      </w:pPr>
      <w:r w:rsidRPr="00ED311A">
        <w:rPr>
          <w:rFonts w:eastAsia="Times New Roman"/>
          <w:sz w:val="28"/>
          <w:szCs w:val="28"/>
        </w:rPr>
        <w:t xml:space="preserve">When </w:t>
      </w:r>
      <w:r w:rsidRPr="00ED311A">
        <w:rPr>
          <w:rFonts w:eastAsia="Times New Roman"/>
          <w:i/>
          <w:iCs/>
          <w:sz w:val="28"/>
          <w:szCs w:val="28"/>
        </w:rPr>
        <w:t>Elliott</w:t>
      </w:r>
      <w:r w:rsidRPr="00ED311A">
        <w:rPr>
          <w:rFonts w:eastAsia="Times New Roman"/>
          <w:sz w:val="28"/>
          <w:szCs w:val="28"/>
        </w:rPr>
        <w:t xml:space="preserve"> was decided, there was a real question presented relating to </w:t>
      </w:r>
      <w:r w:rsidRPr="00ED311A">
        <w:rPr>
          <w:rFonts w:eastAsia="Times New Roman"/>
          <w:b/>
          <w:bCs/>
          <w:i/>
          <w:iCs/>
          <w:sz w:val="28"/>
          <w:szCs w:val="28"/>
        </w:rPr>
        <w:t>urine tests</w:t>
      </w:r>
      <w:r w:rsidRPr="00ED311A">
        <w:rPr>
          <w:rFonts w:eastAsia="Times New Roman"/>
          <w:sz w:val="28"/>
          <w:szCs w:val="28"/>
        </w:rPr>
        <w:t xml:space="preserve"> and whether they would be valid under the logic of the </w:t>
      </w:r>
      <w:r w:rsidRPr="00ED311A">
        <w:rPr>
          <w:rFonts w:eastAsia="Times New Roman"/>
          <w:i/>
          <w:iCs/>
          <w:sz w:val="28"/>
          <w:szCs w:val="28"/>
        </w:rPr>
        <w:t>Elliott</w:t>
      </w:r>
      <w:r w:rsidRPr="00ED311A">
        <w:rPr>
          <w:rFonts w:eastAsia="Times New Roman"/>
          <w:sz w:val="28"/>
          <w:szCs w:val="28"/>
        </w:rPr>
        <w:t xml:space="preserve"> decision.</w:t>
      </w:r>
      <w:r w:rsidRPr="00ED311A">
        <w:rPr>
          <w:rStyle w:val="EndnoteReference"/>
          <w:rFonts w:eastAsia="Times New Roman"/>
          <w:szCs w:val="28"/>
        </w:rPr>
        <w:endnoteReference w:id="18"/>
      </w:r>
      <w:r w:rsidRPr="00ED311A">
        <w:rPr>
          <w:rFonts w:eastAsia="Times New Roman"/>
          <w:sz w:val="28"/>
          <w:szCs w:val="28"/>
        </w:rPr>
        <w:t xml:space="preserve">  </w:t>
      </w:r>
    </w:p>
    <w:p w14:paraId="54AF7204" w14:textId="77777777" w:rsidR="00ED311A" w:rsidRDefault="003D27E1" w:rsidP="00ED311A">
      <w:pPr>
        <w:pStyle w:val="ListParagraph"/>
        <w:numPr>
          <w:ilvl w:val="1"/>
          <w:numId w:val="5"/>
        </w:numPr>
        <w:spacing w:line="480" w:lineRule="auto"/>
        <w:rPr>
          <w:rFonts w:eastAsia="Times New Roman"/>
          <w:sz w:val="28"/>
          <w:szCs w:val="28"/>
        </w:rPr>
      </w:pPr>
      <w:r w:rsidRPr="00ED311A">
        <w:rPr>
          <w:rFonts w:eastAsia="Times New Roman"/>
          <w:i/>
          <w:iCs/>
          <w:sz w:val="28"/>
          <w:szCs w:val="28"/>
        </w:rPr>
        <w:t>Elliott</w:t>
      </w:r>
      <w:r w:rsidRPr="00ED311A">
        <w:rPr>
          <w:rFonts w:eastAsia="Times New Roman"/>
          <w:sz w:val="28"/>
          <w:szCs w:val="28"/>
        </w:rPr>
        <w:t xml:space="preserve"> made it clear that Article I, Section I, Paragraph XVI of the Georgia Constitution prohibits “the State from admitting into evidence both the results of a compelled state-administered breath test and a defendant’s refusal to submit to a state-administered breath test.”</w:t>
      </w:r>
      <w:r w:rsidRPr="00ED311A">
        <w:rPr>
          <w:rStyle w:val="EndnoteReference"/>
          <w:rFonts w:eastAsia="Times New Roman"/>
          <w:szCs w:val="28"/>
        </w:rPr>
        <w:endnoteReference w:id="19"/>
      </w:r>
      <w:r w:rsidRPr="00ED311A">
        <w:rPr>
          <w:rFonts w:eastAsia="Times New Roman"/>
          <w:sz w:val="28"/>
          <w:szCs w:val="28"/>
        </w:rPr>
        <w:t xml:space="preserve">  </w:t>
      </w:r>
    </w:p>
    <w:p w14:paraId="004ADFAF" w14:textId="77777777" w:rsidR="00ED311A" w:rsidRDefault="003D27E1" w:rsidP="00ED311A">
      <w:pPr>
        <w:pStyle w:val="ListParagraph"/>
        <w:numPr>
          <w:ilvl w:val="1"/>
          <w:numId w:val="5"/>
        </w:numPr>
        <w:spacing w:line="480" w:lineRule="auto"/>
        <w:rPr>
          <w:rFonts w:eastAsia="Times New Roman"/>
          <w:sz w:val="28"/>
          <w:szCs w:val="28"/>
        </w:rPr>
      </w:pPr>
      <w:r w:rsidRPr="00ED311A">
        <w:rPr>
          <w:rFonts w:eastAsia="Times New Roman"/>
          <w:sz w:val="28"/>
          <w:szCs w:val="28"/>
        </w:rPr>
        <w:t xml:space="preserve">The focus of the </w:t>
      </w:r>
      <w:r w:rsidRPr="00ED311A">
        <w:rPr>
          <w:rFonts w:eastAsia="Times New Roman"/>
          <w:i/>
          <w:iCs/>
          <w:sz w:val="28"/>
          <w:szCs w:val="28"/>
        </w:rPr>
        <w:t>Elliott</w:t>
      </w:r>
      <w:r w:rsidRPr="00ED311A">
        <w:rPr>
          <w:rFonts w:eastAsia="Times New Roman"/>
          <w:sz w:val="28"/>
          <w:szCs w:val="28"/>
        </w:rPr>
        <w:t xml:space="preserve"> decision, as noted above, was the Georgia Constitution’s provisions relating to self-incrimination that exceed those afforded under the U.S. Constitution.  </w:t>
      </w:r>
    </w:p>
    <w:p w14:paraId="1E8B59E7" w14:textId="77777777" w:rsidR="00ED311A" w:rsidRDefault="003D27E1" w:rsidP="005D6EB1">
      <w:pPr>
        <w:pStyle w:val="ListParagraph"/>
        <w:numPr>
          <w:ilvl w:val="1"/>
          <w:numId w:val="5"/>
        </w:numPr>
        <w:spacing w:line="480" w:lineRule="auto"/>
        <w:rPr>
          <w:rFonts w:eastAsia="Times New Roman"/>
          <w:sz w:val="28"/>
          <w:szCs w:val="28"/>
        </w:rPr>
      </w:pPr>
      <w:r w:rsidRPr="00ED311A">
        <w:rPr>
          <w:rFonts w:eastAsia="Times New Roman"/>
          <w:sz w:val="28"/>
          <w:szCs w:val="28"/>
        </w:rPr>
        <w:lastRenderedPageBreak/>
        <w:t xml:space="preserve">If requiring a defendant to provide a sample of “deep lung” air was prohibited, would not it also be prohibited for a defendant to be required to urinate upon an officer’s demand into a collection cup?  </w:t>
      </w:r>
    </w:p>
    <w:p w14:paraId="1594782A" w14:textId="5373DA52" w:rsidR="003D27E1" w:rsidRPr="00ED311A" w:rsidRDefault="003D27E1" w:rsidP="00ED311A">
      <w:pPr>
        <w:pStyle w:val="ListParagraph"/>
        <w:numPr>
          <w:ilvl w:val="1"/>
          <w:numId w:val="5"/>
        </w:numPr>
        <w:spacing w:line="480" w:lineRule="auto"/>
        <w:rPr>
          <w:rFonts w:eastAsia="Times New Roman"/>
          <w:sz w:val="28"/>
          <w:szCs w:val="28"/>
        </w:rPr>
      </w:pPr>
      <w:r w:rsidRPr="00ED311A">
        <w:rPr>
          <w:rFonts w:eastAsia="Times New Roman"/>
          <w:sz w:val="28"/>
          <w:szCs w:val="28"/>
        </w:rPr>
        <w:t xml:space="preserve">The Supreme Court had the opportunity to address that exact issue in </w:t>
      </w:r>
      <w:r w:rsidRPr="00ED311A">
        <w:rPr>
          <w:rFonts w:eastAsia="Times New Roman"/>
          <w:i/>
          <w:iCs/>
          <w:sz w:val="28"/>
          <w:szCs w:val="28"/>
        </w:rPr>
        <w:t>Awad v. State</w:t>
      </w:r>
      <w:r w:rsidRPr="00ED311A">
        <w:rPr>
          <w:rFonts w:eastAsia="Times New Roman"/>
          <w:sz w:val="28"/>
          <w:szCs w:val="28"/>
        </w:rPr>
        <w:t xml:space="preserve"> and held that the right against compelled self-incrimination protected by Georgia’s Constitution would also result in the exclusion from evidence any refusal of a defendant to submit to a state-administered test of his/her urine.</w:t>
      </w:r>
      <w:r w:rsidRPr="00ED311A">
        <w:rPr>
          <w:rStyle w:val="EndnoteReference"/>
          <w:rFonts w:eastAsia="Times New Roman"/>
          <w:szCs w:val="28"/>
        </w:rPr>
        <w:endnoteReference w:id="20"/>
      </w:r>
    </w:p>
    <w:p w14:paraId="65C3B12B" w14:textId="01111764" w:rsidR="003D27E1" w:rsidRPr="005D6EB1" w:rsidRDefault="003D27E1" w:rsidP="003D27E1">
      <w:pPr>
        <w:pStyle w:val="ListParagraph"/>
        <w:numPr>
          <w:ilvl w:val="0"/>
          <w:numId w:val="5"/>
        </w:numPr>
        <w:spacing w:line="480" w:lineRule="auto"/>
        <w:rPr>
          <w:rFonts w:cstheme="minorHAnsi"/>
          <w:bCs/>
          <w:sz w:val="28"/>
          <w:szCs w:val="28"/>
        </w:rPr>
      </w:pPr>
      <w:r w:rsidRPr="00ED311A">
        <w:rPr>
          <w:rFonts w:eastAsia="Times New Roman"/>
          <w:sz w:val="28"/>
          <w:szCs w:val="28"/>
        </w:rPr>
        <w:t xml:space="preserve">Although the decision in </w:t>
      </w:r>
      <w:r w:rsidRPr="00ED311A">
        <w:rPr>
          <w:rFonts w:eastAsia="Times New Roman"/>
          <w:i/>
          <w:iCs/>
          <w:sz w:val="28"/>
          <w:szCs w:val="28"/>
        </w:rPr>
        <w:t>Awad</w:t>
      </w:r>
      <w:r w:rsidRPr="00ED311A">
        <w:rPr>
          <w:rFonts w:eastAsia="Times New Roman"/>
          <w:sz w:val="28"/>
          <w:szCs w:val="28"/>
        </w:rPr>
        <w:t xml:space="preserve"> is rather detailed, it merely restates many of the principles announced in </w:t>
      </w:r>
      <w:r w:rsidRPr="00ED311A">
        <w:rPr>
          <w:rFonts w:eastAsia="Times New Roman"/>
          <w:i/>
          <w:iCs/>
          <w:sz w:val="28"/>
          <w:szCs w:val="28"/>
        </w:rPr>
        <w:t>Olevik</w:t>
      </w:r>
      <w:r w:rsidRPr="00ED311A">
        <w:rPr>
          <w:rFonts w:eastAsia="Times New Roman"/>
          <w:sz w:val="28"/>
          <w:szCs w:val="28"/>
        </w:rPr>
        <w:t xml:space="preserve">, </w:t>
      </w:r>
      <w:r w:rsidRPr="00ED311A">
        <w:rPr>
          <w:rFonts w:eastAsia="Times New Roman"/>
          <w:i/>
          <w:iCs/>
          <w:sz w:val="28"/>
          <w:szCs w:val="28"/>
        </w:rPr>
        <w:t>Elliott</w:t>
      </w:r>
      <w:r w:rsidRPr="00ED311A">
        <w:rPr>
          <w:rFonts w:eastAsia="Times New Roman"/>
          <w:sz w:val="28"/>
          <w:szCs w:val="28"/>
        </w:rPr>
        <w:t>, and the decisions that followed.  Because providing a urine sample requires the defendant to urinate into a collection cup “on demand,” it is barred by the right against self-incrimination afforded under the Georgia Constitution.</w:t>
      </w:r>
    </w:p>
    <w:p w14:paraId="07BAFE85" w14:textId="5F815572" w:rsidR="005D6EB1" w:rsidRPr="005D6EB1" w:rsidRDefault="005D6EB1" w:rsidP="005D6EB1">
      <w:pPr>
        <w:spacing w:line="480" w:lineRule="auto"/>
        <w:rPr>
          <w:rFonts w:cstheme="minorHAnsi"/>
          <w:bCs/>
          <w:sz w:val="28"/>
          <w:szCs w:val="28"/>
        </w:rPr>
      </w:pPr>
      <w:r>
        <w:rPr>
          <w:rFonts w:cstheme="minorHAnsi"/>
          <w:b/>
          <w:sz w:val="28"/>
          <w:szCs w:val="28"/>
        </w:rPr>
        <w:pict w14:anchorId="0426CC89">
          <v:rect id="_x0000_i1084" style="width:0;height:1.5pt" o:hralign="center" o:hrstd="t" o:hr="t" fillcolor="#a0a0a0" stroked="f"/>
        </w:pict>
      </w:r>
    </w:p>
    <w:p w14:paraId="69AAAA8B" w14:textId="0EBAA90B" w:rsidR="00465A3F" w:rsidRPr="00465A3F" w:rsidRDefault="00465A3F" w:rsidP="003D27E1">
      <w:pPr>
        <w:pStyle w:val="ListParagraph"/>
        <w:numPr>
          <w:ilvl w:val="0"/>
          <w:numId w:val="5"/>
        </w:numPr>
        <w:spacing w:line="480" w:lineRule="auto"/>
        <w:rPr>
          <w:rFonts w:cstheme="minorHAnsi"/>
          <w:bCs/>
          <w:sz w:val="28"/>
          <w:szCs w:val="28"/>
        </w:rPr>
      </w:pPr>
      <w:r>
        <w:rPr>
          <w:rFonts w:cstheme="minorHAnsi"/>
          <w:b/>
          <w:sz w:val="28"/>
          <w:szCs w:val="28"/>
        </w:rPr>
        <w:t xml:space="preserve">GA. LEGISLATURE REWROTE O.C.G.A. § 40-5-67.1 IN RESPONSE TO </w:t>
      </w:r>
      <w:r>
        <w:rPr>
          <w:rFonts w:cstheme="minorHAnsi"/>
          <w:b/>
          <w:i/>
          <w:sz w:val="28"/>
          <w:szCs w:val="28"/>
        </w:rPr>
        <w:t>ELLIOTT</w:t>
      </w:r>
    </w:p>
    <w:p w14:paraId="29F3D178" w14:textId="136EE887" w:rsidR="00465A3F" w:rsidRDefault="00465A3F" w:rsidP="00465A3F">
      <w:pPr>
        <w:pStyle w:val="ListParagraph"/>
        <w:numPr>
          <w:ilvl w:val="1"/>
          <w:numId w:val="5"/>
        </w:numPr>
        <w:spacing w:line="480" w:lineRule="auto"/>
        <w:rPr>
          <w:rFonts w:cstheme="minorHAnsi"/>
          <w:bCs/>
          <w:sz w:val="28"/>
          <w:szCs w:val="28"/>
        </w:rPr>
      </w:pPr>
      <w:r>
        <w:rPr>
          <w:rFonts w:cstheme="minorHAnsi"/>
          <w:bCs/>
          <w:sz w:val="28"/>
          <w:szCs w:val="28"/>
        </w:rPr>
        <w:t xml:space="preserve">During 2019 Session, Ga. Legislature rewrote </w:t>
      </w:r>
      <w:r w:rsidR="008E7465">
        <w:rPr>
          <w:rFonts w:cstheme="minorHAnsi"/>
          <w:bCs/>
          <w:sz w:val="28"/>
          <w:szCs w:val="28"/>
        </w:rPr>
        <w:t xml:space="preserve">the Implied Consent Warnings (“ICW”) (§ 40-5-67.1) to match the holding in </w:t>
      </w:r>
      <w:r w:rsidR="008E7465">
        <w:rPr>
          <w:rFonts w:cstheme="minorHAnsi"/>
          <w:bCs/>
          <w:i/>
          <w:iCs/>
          <w:sz w:val="28"/>
          <w:szCs w:val="28"/>
        </w:rPr>
        <w:t>Elliott</w:t>
      </w:r>
      <w:r w:rsidR="008E7465">
        <w:rPr>
          <w:rFonts w:cstheme="minorHAnsi"/>
          <w:bCs/>
          <w:sz w:val="28"/>
          <w:szCs w:val="28"/>
        </w:rPr>
        <w:t>.</w:t>
      </w:r>
    </w:p>
    <w:p w14:paraId="0D8B9BFE" w14:textId="77777777" w:rsidR="008E7465" w:rsidRPr="008E7465" w:rsidRDefault="008E7465" w:rsidP="008E7465">
      <w:pPr>
        <w:pStyle w:val="ListParagraph"/>
        <w:numPr>
          <w:ilvl w:val="1"/>
          <w:numId w:val="5"/>
        </w:numPr>
        <w:spacing w:line="480" w:lineRule="auto"/>
        <w:rPr>
          <w:rFonts w:eastAsia="Times New Roman"/>
          <w:sz w:val="28"/>
          <w:szCs w:val="28"/>
        </w:rPr>
      </w:pPr>
      <w:r w:rsidRPr="008E7465">
        <w:rPr>
          <w:rFonts w:eastAsia="Times New Roman"/>
          <w:sz w:val="28"/>
          <w:szCs w:val="28"/>
        </w:rPr>
        <w:lastRenderedPageBreak/>
        <w:t>The new version of § 40-5-67.1 retained the general style of the prior ICW (i.e. different ICW for drivers under 21, drivers over age 21 and different ICW for drivers of commercial motor vehicles).</w:t>
      </w:r>
      <w:r w:rsidRPr="008E7465">
        <w:rPr>
          <w:rFonts w:eastAsia="Times New Roman"/>
          <w:b/>
          <w:sz w:val="28"/>
          <w:szCs w:val="28"/>
          <w:vertAlign w:val="superscript"/>
        </w:rPr>
        <w:endnoteReference w:id="21"/>
      </w:r>
      <w:r w:rsidRPr="008E7465">
        <w:rPr>
          <w:rFonts w:eastAsia="Times New Roman"/>
          <w:sz w:val="28"/>
          <w:szCs w:val="28"/>
        </w:rPr>
        <w:t xml:space="preserve">  </w:t>
      </w:r>
    </w:p>
    <w:p w14:paraId="49724CD1" w14:textId="3AD4B75F" w:rsidR="008E7465" w:rsidRPr="008E7465" w:rsidRDefault="008E7465" w:rsidP="008E7465">
      <w:pPr>
        <w:pStyle w:val="ListParagraph"/>
        <w:numPr>
          <w:ilvl w:val="1"/>
          <w:numId w:val="5"/>
        </w:numPr>
        <w:spacing w:line="480" w:lineRule="auto"/>
        <w:rPr>
          <w:rFonts w:eastAsia="Times New Roman"/>
          <w:sz w:val="28"/>
          <w:szCs w:val="28"/>
        </w:rPr>
      </w:pPr>
      <w:r w:rsidRPr="008E7465">
        <w:rPr>
          <w:rFonts w:eastAsia="Times New Roman"/>
          <w:sz w:val="28"/>
          <w:szCs w:val="28"/>
        </w:rPr>
        <w:t>The revised § 40-5-67.1(b)(2) (ICW for drivers over the age of 21), provides:</w:t>
      </w:r>
    </w:p>
    <w:p w14:paraId="40F9CBA9" w14:textId="77777777" w:rsidR="008E7465" w:rsidRPr="008E7465" w:rsidRDefault="008E7465" w:rsidP="008E7465">
      <w:pPr>
        <w:spacing w:line="480" w:lineRule="auto"/>
        <w:ind w:left="360" w:firstLine="360"/>
        <w:rPr>
          <w:rFonts w:eastAsia="Times New Roman"/>
          <w:sz w:val="28"/>
          <w:szCs w:val="28"/>
        </w:rPr>
      </w:pPr>
      <w:r w:rsidRPr="008E7465">
        <w:rPr>
          <w:rFonts w:eastAsia="Times New Roman"/>
          <w:sz w:val="28"/>
          <w:szCs w:val="28"/>
        </w:rPr>
        <w:t>(b)(2) Implied consent notice for suspects age 21 or over:</w:t>
      </w:r>
    </w:p>
    <w:p w14:paraId="303634C3" w14:textId="458AE496" w:rsidR="008E7465" w:rsidRPr="008E7465" w:rsidRDefault="008E7465" w:rsidP="008E7465">
      <w:pPr>
        <w:autoSpaceDE w:val="0"/>
        <w:autoSpaceDN w:val="0"/>
        <w:adjustRightInd w:val="0"/>
        <w:spacing w:before="240" w:after="240" w:line="240" w:lineRule="auto"/>
        <w:ind w:left="720" w:right="720"/>
        <w:rPr>
          <w:rFonts w:eastAsia="Times New Roman"/>
          <w:sz w:val="28"/>
          <w:szCs w:val="28"/>
        </w:rPr>
      </w:pPr>
      <w:r w:rsidRPr="008E7465">
        <w:rPr>
          <w:rFonts w:eastAsia="Times New Roman"/>
          <w:sz w:val="28"/>
          <w:szCs w:val="28"/>
        </w:rPr>
        <w:t xml:space="preserve">The State of Georgia has conditioned your privilege to drive upon the highways of this state upon your submission to state-administered chemical tests of your blood, breath, urine, or other bodily substances for the purpose of determining if you are under the influence of alcohol or drugs. If you refuse this testing, your Georgia driver's license or privilege to drive on the highways of this state </w:t>
      </w:r>
      <w:r w:rsidRPr="008E7465">
        <w:rPr>
          <w:rFonts w:eastAsia="Times New Roman"/>
          <w:b/>
          <w:i/>
          <w:sz w:val="28"/>
          <w:szCs w:val="28"/>
        </w:rPr>
        <w:t>will be</w:t>
      </w:r>
      <w:r w:rsidRPr="008E7465">
        <w:rPr>
          <w:rFonts w:eastAsia="Times New Roman"/>
          <w:sz w:val="28"/>
          <w:szCs w:val="28"/>
        </w:rPr>
        <w:t xml:space="preserve"> suspended for a minimum period of one year. Your refusal to submit to </w:t>
      </w:r>
      <w:r w:rsidRPr="008E7465">
        <w:rPr>
          <w:rFonts w:eastAsia="Times New Roman"/>
          <w:b/>
          <w:i/>
          <w:sz w:val="28"/>
          <w:szCs w:val="28"/>
        </w:rPr>
        <w:t>blood or urine</w:t>
      </w:r>
      <w:r w:rsidRPr="008E7465">
        <w:rPr>
          <w:rFonts w:eastAsia="Times New Roman"/>
          <w:sz w:val="28"/>
          <w:szCs w:val="28"/>
        </w:rPr>
        <w:t xml:space="preserve"> testing may be offered into evidence against you at trial. If you submit to testing and the results indicate an alcohol concentration of 0.08 grams or more, your Georgia driver's license or privilege to drive on the highways of this state may be suspended for a minimum period of one year. After first submitting to the requested state tests, you are entitled to additional chemical tests of your blood, breath, urine, or other bodily substances at your own expense and from qualified personnel of your own choosing. Will you submit to the state-administered chemical tests of your (designate which test)?</w:t>
      </w:r>
      <w:r w:rsidRPr="008E7465">
        <w:rPr>
          <w:rFonts w:eastAsia="Times New Roman"/>
          <w:sz w:val="28"/>
          <w:szCs w:val="28"/>
        </w:rPr>
        <w:t xml:space="preserve">  </w:t>
      </w:r>
      <w:r w:rsidRPr="008E7465">
        <w:rPr>
          <w:rFonts w:eastAsia="Times New Roman"/>
          <w:sz w:val="28"/>
          <w:szCs w:val="28"/>
        </w:rPr>
        <w:t xml:space="preserve">(emphasis supplied).  </w:t>
      </w:r>
    </w:p>
    <w:p w14:paraId="1332103A" w14:textId="77777777" w:rsidR="008E7465" w:rsidRPr="008E7465" w:rsidRDefault="008E7465" w:rsidP="008E7465">
      <w:pPr>
        <w:pStyle w:val="ListParagraph"/>
        <w:numPr>
          <w:ilvl w:val="2"/>
          <w:numId w:val="5"/>
        </w:numPr>
        <w:spacing w:line="480" w:lineRule="auto"/>
        <w:rPr>
          <w:rFonts w:cstheme="minorHAnsi"/>
          <w:bCs/>
          <w:sz w:val="28"/>
          <w:szCs w:val="28"/>
        </w:rPr>
      </w:pPr>
      <w:r w:rsidRPr="008E7465">
        <w:rPr>
          <w:rFonts w:eastAsia="Times New Roman"/>
          <w:sz w:val="28"/>
          <w:szCs w:val="28"/>
        </w:rPr>
        <w:t xml:space="preserve">There are corresponding new provisions applicable to drivers under the age of 21 and drivers of commercial vehicles.  </w:t>
      </w:r>
    </w:p>
    <w:p w14:paraId="17A4079C" w14:textId="77777777" w:rsidR="008E7465" w:rsidRPr="008E7465" w:rsidRDefault="008E7465" w:rsidP="008E7465">
      <w:pPr>
        <w:pStyle w:val="ListParagraph"/>
        <w:numPr>
          <w:ilvl w:val="1"/>
          <w:numId w:val="5"/>
        </w:numPr>
        <w:spacing w:line="480" w:lineRule="auto"/>
        <w:rPr>
          <w:rFonts w:cstheme="minorHAnsi"/>
          <w:bCs/>
          <w:sz w:val="28"/>
          <w:szCs w:val="28"/>
        </w:rPr>
      </w:pPr>
      <w:r w:rsidRPr="008E7465">
        <w:rPr>
          <w:rFonts w:eastAsia="Times New Roman"/>
          <w:sz w:val="28"/>
          <w:szCs w:val="28"/>
        </w:rPr>
        <w:t xml:space="preserve">The new statute specifically addressed the concerns expressed in </w:t>
      </w:r>
      <w:r w:rsidRPr="008E7465">
        <w:rPr>
          <w:rFonts w:eastAsia="Times New Roman"/>
          <w:i/>
          <w:sz w:val="28"/>
          <w:szCs w:val="28"/>
        </w:rPr>
        <w:t>Elliott</w:t>
      </w:r>
      <w:r w:rsidRPr="008E7465">
        <w:rPr>
          <w:rFonts w:eastAsia="Times New Roman"/>
          <w:sz w:val="28"/>
          <w:szCs w:val="28"/>
        </w:rPr>
        <w:t xml:space="preserve"> and </w:t>
      </w:r>
      <w:r w:rsidRPr="008E7465">
        <w:rPr>
          <w:rFonts w:eastAsia="Times New Roman"/>
          <w:i/>
          <w:sz w:val="28"/>
          <w:szCs w:val="28"/>
        </w:rPr>
        <w:t>Olevik</w:t>
      </w:r>
      <w:r w:rsidRPr="008E7465">
        <w:rPr>
          <w:rFonts w:eastAsia="Times New Roman"/>
          <w:sz w:val="28"/>
          <w:szCs w:val="28"/>
        </w:rPr>
        <w:t xml:space="preserve">.  </w:t>
      </w:r>
    </w:p>
    <w:p w14:paraId="376A5754" w14:textId="77777777" w:rsidR="008E7465" w:rsidRPr="008E7465" w:rsidRDefault="008E7465" w:rsidP="008E7465">
      <w:pPr>
        <w:pStyle w:val="ListParagraph"/>
        <w:numPr>
          <w:ilvl w:val="2"/>
          <w:numId w:val="5"/>
        </w:numPr>
        <w:spacing w:line="480" w:lineRule="auto"/>
        <w:rPr>
          <w:rFonts w:cstheme="minorHAnsi"/>
          <w:bCs/>
          <w:sz w:val="28"/>
          <w:szCs w:val="28"/>
        </w:rPr>
      </w:pPr>
      <w:r w:rsidRPr="008E7465">
        <w:rPr>
          <w:rFonts w:eastAsia="Times New Roman"/>
          <w:sz w:val="28"/>
          <w:szCs w:val="28"/>
        </w:rPr>
        <w:lastRenderedPageBreak/>
        <w:t xml:space="preserve">The new ICW statute clarified that a refusal to submit to the state-administered testing </w:t>
      </w:r>
      <w:r w:rsidRPr="008E7465">
        <w:rPr>
          <w:rFonts w:eastAsia="Times New Roman"/>
          <w:b/>
          <w:i/>
          <w:sz w:val="28"/>
          <w:szCs w:val="28"/>
        </w:rPr>
        <w:t xml:space="preserve">will </w:t>
      </w:r>
      <w:r w:rsidRPr="008E7465">
        <w:rPr>
          <w:rFonts w:eastAsia="Times New Roman"/>
          <w:sz w:val="28"/>
          <w:szCs w:val="28"/>
        </w:rPr>
        <w:t xml:space="preserve">result in a suspension of the driver’s license or privilege of driving on the highways of this state.  The new statute also provides that refusal to submit to blood or urine testing </w:t>
      </w:r>
      <w:r w:rsidRPr="008E7465">
        <w:rPr>
          <w:rFonts w:eastAsia="Times New Roman"/>
          <w:b/>
          <w:bCs/>
          <w:i/>
          <w:iCs/>
          <w:sz w:val="28"/>
          <w:szCs w:val="28"/>
          <w:u w:val="single"/>
        </w:rPr>
        <w:t>may</w:t>
      </w:r>
      <w:r w:rsidRPr="008E7465">
        <w:rPr>
          <w:rFonts w:eastAsia="Times New Roman"/>
          <w:sz w:val="28"/>
          <w:szCs w:val="28"/>
        </w:rPr>
        <w:t xml:space="preserve"> be offered into evidence.</w:t>
      </w:r>
      <w:r w:rsidRPr="008E7465">
        <w:rPr>
          <w:rStyle w:val="EndnoteReference"/>
          <w:rFonts w:eastAsia="Times New Roman"/>
          <w:szCs w:val="28"/>
        </w:rPr>
        <w:t xml:space="preserve"> </w:t>
      </w:r>
      <w:r w:rsidRPr="008E7465">
        <w:rPr>
          <w:rStyle w:val="EndnoteReference"/>
          <w:rFonts w:eastAsia="Times New Roman"/>
          <w:szCs w:val="28"/>
        </w:rPr>
        <w:endnoteReference w:id="22"/>
      </w:r>
      <w:r w:rsidRPr="008E7465">
        <w:rPr>
          <w:rFonts w:eastAsia="Times New Roman"/>
          <w:sz w:val="28"/>
          <w:szCs w:val="28"/>
        </w:rPr>
        <w:t xml:space="preserve">  </w:t>
      </w:r>
    </w:p>
    <w:p w14:paraId="3473618E" w14:textId="05A50DC2" w:rsidR="008E7465" w:rsidRPr="008E7465" w:rsidRDefault="008E7465" w:rsidP="008E7465">
      <w:pPr>
        <w:pStyle w:val="ListParagraph"/>
        <w:numPr>
          <w:ilvl w:val="2"/>
          <w:numId w:val="5"/>
        </w:numPr>
        <w:spacing w:line="480" w:lineRule="auto"/>
        <w:rPr>
          <w:rFonts w:cstheme="minorHAnsi"/>
          <w:bCs/>
          <w:sz w:val="28"/>
          <w:szCs w:val="28"/>
        </w:rPr>
      </w:pPr>
      <w:r w:rsidRPr="008E7465">
        <w:rPr>
          <w:rFonts w:eastAsia="Times New Roman"/>
          <w:sz w:val="28"/>
          <w:szCs w:val="28"/>
        </w:rPr>
        <w:t xml:space="preserve">The new ICW statute omits the language from the prior version of the statute which the  </w:t>
      </w:r>
      <w:r w:rsidRPr="008E7465">
        <w:rPr>
          <w:rFonts w:eastAsia="Times New Roman"/>
          <w:i/>
          <w:sz w:val="28"/>
          <w:szCs w:val="28"/>
        </w:rPr>
        <w:t>Elliott</w:t>
      </w:r>
      <w:r w:rsidRPr="008E7465">
        <w:rPr>
          <w:rFonts w:eastAsia="Times New Roman"/>
          <w:sz w:val="28"/>
          <w:szCs w:val="28"/>
        </w:rPr>
        <w:t xml:space="preserve"> Court found was improper - that refusal to commit the acts necessary to generate breath testing would be offered into evidence.</w:t>
      </w:r>
    </w:p>
    <w:p w14:paraId="280D6F98" w14:textId="50F5B743" w:rsidR="008E7465" w:rsidRPr="008E7465" w:rsidRDefault="008E7465" w:rsidP="008E7465">
      <w:pPr>
        <w:spacing w:line="480" w:lineRule="auto"/>
        <w:rPr>
          <w:rFonts w:cstheme="minorHAnsi"/>
          <w:bCs/>
          <w:sz w:val="28"/>
          <w:szCs w:val="28"/>
        </w:rPr>
      </w:pPr>
      <w:r>
        <w:rPr>
          <w:rFonts w:cstheme="minorHAnsi"/>
          <w:b/>
          <w:sz w:val="28"/>
          <w:szCs w:val="28"/>
        </w:rPr>
        <w:pict w14:anchorId="34B64EB1">
          <v:rect id="_x0000_i1085" style="width:0;height:1.5pt" o:hralign="center" o:hrstd="t" o:hr="t" fillcolor="#a0a0a0" stroked="f"/>
        </w:pict>
      </w:r>
    </w:p>
    <w:p w14:paraId="302DCE77" w14:textId="04952B4C" w:rsidR="000C3A97" w:rsidRDefault="000C3A97" w:rsidP="003D27E1">
      <w:pPr>
        <w:pStyle w:val="ListParagraph"/>
        <w:numPr>
          <w:ilvl w:val="0"/>
          <w:numId w:val="5"/>
        </w:numPr>
        <w:spacing w:line="480" w:lineRule="auto"/>
        <w:rPr>
          <w:rFonts w:cstheme="minorHAnsi"/>
          <w:bCs/>
          <w:sz w:val="28"/>
          <w:szCs w:val="28"/>
        </w:rPr>
      </w:pPr>
      <w:r>
        <w:rPr>
          <w:rFonts w:cstheme="minorHAnsi"/>
          <w:b/>
          <w:sz w:val="28"/>
          <w:szCs w:val="28"/>
        </w:rPr>
        <w:t xml:space="preserve">REFUSAL TO SUBMIT TO PRE-ARREST TESTING ALSO INADMISSIBLE FOLLOWING </w:t>
      </w:r>
      <w:r>
        <w:rPr>
          <w:rFonts w:cstheme="minorHAnsi"/>
          <w:b/>
          <w:i/>
          <w:iCs/>
          <w:sz w:val="28"/>
          <w:szCs w:val="28"/>
        </w:rPr>
        <w:t>ELLIOTT</w:t>
      </w:r>
    </w:p>
    <w:p w14:paraId="72E61DC6" w14:textId="6EC900BA" w:rsidR="005D6EB1" w:rsidRDefault="005D6EB1" w:rsidP="000C3A97">
      <w:pPr>
        <w:pStyle w:val="ListParagraph"/>
        <w:numPr>
          <w:ilvl w:val="1"/>
          <w:numId w:val="5"/>
        </w:numPr>
        <w:spacing w:line="480" w:lineRule="auto"/>
        <w:rPr>
          <w:rFonts w:cstheme="minorHAnsi"/>
          <w:bCs/>
          <w:sz w:val="28"/>
          <w:szCs w:val="28"/>
        </w:rPr>
      </w:pPr>
      <w:r>
        <w:rPr>
          <w:rFonts w:cstheme="minorHAnsi"/>
          <w:bCs/>
          <w:sz w:val="28"/>
          <w:szCs w:val="28"/>
        </w:rPr>
        <w:t xml:space="preserve">The decisions in </w:t>
      </w:r>
      <w:r>
        <w:rPr>
          <w:rFonts w:cstheme="minorHAnsi"/>
          <w:bCs/>
          <w:i/>
          <w:iCs/>
          <w:sz w:val="28"/>
          <w:szCs w:val="28"/>
        </w:rPr>
        <w:t xml:space="preserve">Williams, Olevik, Elliott </w:t>
      </w:r>
      <w:r>
        <w:rPr>
          <w:rFonts w:cstheme="minorHAnsi"/>
          <w:bCs/>
          <w:sz w:val="28"/>
          <w:szCs w:val="28"/>
        </w:rPr>
        <w:t xml:space="preserve">and </w:t>
      </w:r>
      <w:r>
        <w:rPr>
          <w:rFonts w:cstheme="minorHAnsi"/>
          <w:bCs/>
          <w:i/>
          <w:iCs/>
          <w:sz w:val="28"/>
          <w:szCs w:val="28"/>
        </w:rPr>
        <w:t>Awad</w:t>
      </w:r>
      <w:r>
        <w:rPr>
          <w:rFonts w:cstheme="minorHAnsi"/>
          <w:bCs/>
          <w:sz w:val="28"/>
          <w:szCs w:val="28"/>
        </w:rPr>
        <w:t xml:space="preserve"> clarify that a defendant’s refusal to submit to </w:t>
      </w:r>
      <w:r w:rsidR="00487663">
        <w:rPr>
          <w:rFonts w:cstheme="minorHAnsi"/>
          <w:bCs/>
          <w:sz w:val="28"/>
          <w:szCs w:val="28"/>
        </w:rPr>
        <w:t xml:space="preserve">state-administered testing </w:t>
      </w:r>
      <w:r w:rsidR="00FE4EAE">
        <w:rPr>
          <w:rFonts w:cstheme="minorHAnsi"/>
          <w:bCs/>
          <w:sz w:val="28"/>
          <w:szCs w:val="28"/>
        </w:rPr>
        <w:t xml:space="preserve">(post-arrest testing) </w:t>
      </w:r>
      <w:r w:rsidR="00487663">
        <w:rPr>
          <w:rFonts w:cstheme="minorHAnsi"/>
          <w:bCs/>
          <w:sz w:val="28"/>
          <w:szCs w:val="28"/>
        </w:rPr>
        <w:t>cannot be introduced into evidence against the defendant.</w:t>
      </w:r>
    </w:p>
    <w:p w14:paraId="13BF2500" w14:textId="07CDB11A" w:rsidR="00487663" w:rsidRDefault="00487663" w:rsidP="00487663">
      <w:pPr>
        <w:pStyle w:val="ListParagraph"/>
        <w:numPr>
          <w:ilvl w:val="1"/>
          <w:numId w:val="5"/>
        </w:numPr>
        <w:spacing w:line="480" w:lineRule="auto"/>
        <w:rPr>
          <w:rFonts w:cstheme="minorHAnsi"/>
          <w:bCs/>
          <w:sz w:val="28"/>
          <w:szCs w:val="28"/>
        </w:rPr>
      </w:pPr>
      <w:r>
        <w:rPr>
          <w:rFonts w:cstheme="minorHAnsi"/>
          <w:bCs/>
          <w:sz w:val="28"/>
          <w:szCs w:val="28"/>
        </w:rPr>
        <w:t>The logical next question is how those decisions apply to standardized field sobriety testing</w:t>
      </w:r>
      <w:r w:rsidR="00533058">
        <w:rPr>
          <w:rFonts w:cstheme="minorHAnsi"/>
          <w:bCs/>
          <w:sz w:val="28"/>
          <w:szCs w:val="28"/>
        </w:rPr>
        <w:t xml:space="preserve"> – pre-arrest testing or screening that law enforcement officers typically use in determining whether there is probable cause to make an arrest.</w:t>
      </w:r>
    </w:p>
    <w:p w14:paraId="2BD3C2C9" w14:textId="6737B710" w:rsidR="00487663" w:rsidRDefault="00487663" w:rsidP="00487663">
      <w:pPr>
        <w:pStyle w:val="ListParagraph"/>
        <w:numPr>
          <w:ilvl w:val="2"/>
          <w:numId w:val="5"/>
        </w:numPr>
        <w:spacing w:line="480" w:lineRule="auto"/>
        <w:rPr>
          <w:rFonts w:cstheme="minorHAnsi"/>
          <w:bCs/>
          <w:sz w:val="28"/>
          <w:szCs w:val="28"/>
        </w:rPr>
      </w:pPr>
      <w:r>
        <w:rPr>
          <w:rFonts w:cstheme="minorHAnsi"/>
          <w:bCs/>
          <w:sz w:val="28"/>
          <w:szCs w:val="28"/>
        </w:rPr>
        <w:lastRenderedPageBreak/>
        <w:t xml:space="preserve">Tests such as the Walk and Turn (“WAT”), One Legged Stand (“OLS”) and Horizontal Gaze Nystagmus (“HGN”) </w:t>
      </w:r>
      <w:r w:rsidR="00533058">
        <w:rPr>
          <w:rFonts w:cstheme="minorHAnsi"/>
          <w:bCs/>
          <w:sz w:val="28"/>
          <w:szCs w:val="28"/>
        </w:rPr>
        <w:t>are considered standardized field sobriety tests</w:t>
      </w:r>
      <w:r w:rsidR="000C3A97">
        <w:rPr>
          <w:rFonts w:cstheme="minorHAnsi"/>
          <w:bCs/>
          <w:sz w:val="28"/>
          <w:szCs w:val="28"/>
        </w:rPr>
        <w:t>.  The Alco-sensor is also considered a valid field sobriety test</w:t>
      </w:r>
    </w:p>
    <w:p w14:paraId="1FB62BE3" w14:textId="70C41468" w:rsidR="00533058" w:rsidRDefault="00533058" w:rsidP="00487663">
      <w:pPr>
        <w:pStyle w:val="ListParagraph"/>
        <w:numPr>
          <w:ilvl w:val="2"/>
          <w:numId w:val="5"/>
        </w:numPr>
        <w:spacing w:line="480" w:lineRule="auto"/>
        <w:rPr>
          <w:rFonts w:cstheme="minorHAnsi"/>
          <w:bCs/>
          <w:sz w:val="28"/>
          <w:szCs w:val="28"/>
        </w:rPr>
      </w:pPr>
      <w:r>
        <w:rPr>
          <w:rFonts w:cstheme="minorHAnsi"/>
          <w:bCs/>
          <w:sz w:val="28"/>
          <w:szCs w:val="28"/>
        </w:rPr>
        <w:t>(One day, we will record an episode that gets into the weeds on these tests</w:t>
      </w:r>
      <w:r w:rsidR="00FE4EAE">
        <w:rPr>
          <w:rFonts w:cstheme="minorHAnsi"/>
          <w:bCs/>
          <w:sz w:val="28"/>
          <w:szCs w:val="28"/>
        </w:rPr>
        <w:t xml:space="preserve"> – for now, just understand these are the only field sobriety tests we are discussing today)</w:t>
      </w:r>
    </w:p>
    <w:p w14:paraId="2D4FCC46" w14:textId="7F48045F" w:rsidR="00FE4EAE" w:rsidRDefault="00FE4EAE" w:rsidP="00FE4EAE">
      <w:pPr>
        <w:pStyle w:val="ListParagraph"/>
        <w:numPr>
          <w:ilvl w:val="1"/>
          <w:numId w:val="5"/>
        </w:numPr>
        <w:spacing w:line="480" w:lineRule="auto"/>
        <w:rPr>
          <w:rFonts w:cstheme="minorHAnsi"/>
          <w:bCs/>
          <w:sz w:val="28"/>
          <w:szCs w:val="28"/>
        </w:rPr>
      </w:pPr>
      <w:r>
        <w:rPr>
          <w:rFonts w:cstheme="minorHAnsi"/>
          <w:bCs/>
          <w:sz w:val="28"/>
          <w:szCs w:val="28"/>
        </w:rPr>
        <w:t xml:space="preserve">If a defendant’s decision to refuse to participate in post-arrest testing cannot be introduced into evidence, do those same principles apply to pre-arrest testing?  </w:t>
      </w:r>
    </w:p>
    <w:p w14:paraId="08DC9C30" w14:textId="69C8CF42" w:rsidR="00FE4EAE" w:rsidRDefault="00FE4EAE" w:rsidP="00FE4EAE">
      <w:pPr>
        <w:pStyle w:val="ListParagraph"/>
        <w:numPr>
          <w:ilvl w:val="2"/>
          <w:numId w:val="5"/>
        </w:numPr>
        <w:spacing w:line="480" w:lineRule="auto"/>
        <w:rPr>
          <w:rFonts w:cstheme="minorHAnsi"/>
          <w:bCs/>
          <w:sz w:val="28"/>
          <w:szCs w:val="28"/>
        </w:rPr>
      </w:pPr>
      <w:r>
        <w:rPr>
          <w:rFonts w:cstheme="minorHAnsi"/>
          <w:bCs/>
          <w:sz w:val="28"/>
          <w:szCs w:val="28"/>
        </w:rPr>
        <w:t>Logic says “yes” but now the Georgia Court of Appeals has specifically answered the question</w:t>
      </w:r>
      <w:r w:rsidR="000C3A97">
        <w:rPr>
          <w:rFonts w:cstheme="minorHAnsi"/>
          <w:bCs/>
          <w:sz w:val="28"/>
          <w:szCs w:val="28"/>
        </w:rPr>
        <w:t xml:space="preserve"> in the affirmative</w:t>
      </w:r>
      <w:r>
        <w:rPr>
          <w:rFonts w:cstheme="minorHAnsi"/>
          <w:bCs/>
          <w:sz w:val="28"/>
          <w:szCs w:val="28"/>
        </w:rPr>
        <w:t>.</w:t>
      </w:r>
    </w:p>
    <w:p w14:paraId="4B98AE9B" w14:textId="6D671F13" w:rsidR="0004612B" w:rsidRDefault="00FE4EAE" w:rsidP="00FE4EAE">
      <w:pPr>
        <w:pStyle w:val="ListParagraph"/>
        <w:numPr>
          <w:ilvl w:val="1"/>
          <w:numId w:val="5"/>
        </w:numPr>
        <w:spacing w:line="480" w:lineRule="auto"/>
        <w:rPr>
          <w:rFonts w:cstheme="minorHAnsi"/>
          <w:bCs/>
          <w:sz w:val="28"/>
          <w:szCs w:val="28"/>
        </w:rPr>
      </w:pPr>
      <w:r>
        <w:rPr>
          <w:rFonts w:cstheme="minorHAnsi"/>
          <w:bCs/>
          <w:sz w:val="28"/>
          <w:szCs w:val="28"/>
        </w:rPr>
        <w:t xml:space="preserve">In </w:t>
      </w:r>
      <w:r>
        <w:rPr>
          <w:rFonts w:cstheme="minorHAnsi"/>
          <w:bCs/>
          <w:i/>
          <w:iCs/>
          <w:sz w:val="28"/>
          <w:szCs w:val="28"/>
        </w:rPr>
        <w:t>State v. Bradberry</w:t>
      </w:r>
      <w:r>
        <w:rPr>
          <w:rFonts w:cstheme="minorHAnsi"/>
          <w:bCs/>
          <w:sz w:val="28"/>
          <w:szCs w:val="28"/>
        </w:rPr>
        <w:t>,</w:t>
      </w:r>
      <w:r>
        <w:rPr>
          <w:rStyle w:val="EndnoteReference"/>
          <w:rFonts w:cstheme="minorHAnsi"/>
          <w:bCs/>
          <w:szCs w:val="28"/>
        </w:rPr>
        <w:endnoteReference w:id="23"/>
      </w:r>
      <w:r>
        <w:rPr>
          <w:rFonts w:cstheme="minorHAnsi"/>
          <w:bCs/>
          <w:sz w:val="28"/>
          <w:szCs w:val="28"/>
        </w:rPr>
        <w:t xml:space="preserve"> the defendant refused to provide a breath sample for an alco-sensor test.</w:t>
      </w:r>
      <w:r w:rsidR="005F1E63">
        <w:rPr>
          <w:rFonts w:cstheme="minorHAnsi"/>
          <w:bCs/>
          <w:sz w:val="28"/>
          <w:szCs w:val="28"/>
        </w:rPr>
        <w:t xml:space="preserve">  The </w:t>
      </w:r>
      <w:r w:rsidR="004321F2">
        <w:rPr>
          <w:rFonts w:cstheme="minorHAnsi"/>
          <w:bCs/>
          <w:sz w:val="28"/>
          <w:szCs w:val="28"/>
        </w:rPr>
        <w:t xml:space="preserve">defendant in </w:t>
      </w:r>
      <w:r w:rsidR="004321F2">
        <w:rPr>
          <w:rFonts w:cstheme="minorHAnsi"/>
          <w:bCs/>
          <w:i/>
          <w:iCs/>
          <w:sz w:val="28"/>
          <w:szCs w:val="28"/>
        </w:rPr>
        <w:t>Bradberry</w:t>
      </w:r>
      <w:r w:rsidR="004321F2">
        <w:rPr>
          <w:rFonts w:cstheme="minorHAnsi"/>
          <w:bCs/>
          <w:sz w:val="28"/>
          <w:szCs w:val="28"/>
        </w:rPr>
        <w:t xml:space="preserve"> reused to provide a breath sample and, during trial, that r</w:t>
      </w:r>
      <w:r w:rsidR="0004612B">
        <w:rPr>
          <w:rFonts w:cstheme="minorHAnsi"/>
          <w:bCs/>
          <w:sz w:val="28"/>
          <w:szCs w:val="28"/>
        </w:rPr>
        <w:t>uled inadmissible by the trial court.</w:t>
      </w:r>
      <w:r w:rsidR="000C3A97">
        <w:rPr>
          <w:rFonts w:cstheme="minorHAnsi"/>
          <w:bCs/>
          <w:sz w:val="28"/>
          <w:szCs w:val="28"/>
        </w:rPr>
        <w:t xml:space="preserve">  State appealed.  </w:t>
      </w:r>
    </w:p>
    <w:p w14:paraId="5C0CC40F" w14:textId="0749CA63" w:rsidR="00FE4EAE" w:rsidRPr="0004612B" w:rsidRDefault="0004612B" w:rsidP="0004612B">
      <w:pPr>
        <w:pStyle w:val="ListParagraph"/>
        <w:numPr>
          <w:ilvl w:val="2"/>
          <w:numId w:val="5"/>
        </w:numPr>
        <w:spacing w:line="480" w:lineRule="auto"/>
        <w:rPr>
          <w:rFonts w:cstheme="minorHAnsi"/>
          <w:bCs/>
          <w:sz w:val="28"/>
          <w:szCs w:val="28"/>
        </w:rPr>
      </w:pPr>
      <w:r>
        <w:rPr>
          <w:rFonts w:cstheme="minorHAnsi"/>
          <w:bCs/>
          <w:sz w:val="28"/>
          <w:szCs w:val="28"/>
        </w:rPr>
        <w:t xml:space="preserve">Understand there was existing case law that had held that refusal to submit to a field sobriety test </w:t>
      </w:r>
      <w:r>
        <w:rPr>
          <w:rFonts w:cstheme="minorHAnsi"/>
          <w:bCs/>
          <w:i/>
          <w:iCs/>
          <w:sz w:val="28"/>
          <w:szCs w:val="28"/>
        </w:rPr>
        <w:t>was</w:t>
      </w:r>
      <w:r>
        <w:rPr>
          <w:rFonts w:cstheme="minorHAnsi"/>
          <w:bCs/>
          <w:sz w:val="28"/>
          <w:szCs w:val="28"/>
        </w:rPr>
        <w:t xml:space="preserve"> admissible.</w:t>
      </w:r>
      <w:r>
        <w:rPr>
          <w:rStyle w:val="EndnoteReference"/>
          <w:rFonts w:cstheme="minorHAnsi"/>
          <w:bCs/>
          <w:szCs w:val="28"/>
        </w:rPr>
        <w:endnoteReference w:id="24"/>
      </w:r>
      <w:r w:rsidR="005F1E63">
        <w:rPr>
          <w:rFonts w:cstheme="minorHAnsi"/>
          <w:bCs/>
          <w:sz w:val="28"/>
          <w:szCs w:val="28"/>
        </w:rPr>
        <w:t xml:space="preserve"> </w:t>
      </w:r>
      <w:r>
        <w:rPr>
          <w:rFonts w:cstheme="minorHAnsi"/>
          <w:bCs/>
          <w:sz w:val="28"/>
          <w:szCs w:val="28"/>
        </w:rPr>
        <w:t xml:space="preserve">All decided long before </w:t>
      </w:r>
      <w:r>
        <w:rPr>
          <w:rFonts w:cstheme="minorHAnsi"/>
          <w:bCs/>
          <w:i/>
          <w:sz w:val="28"/>
          <w:szCs w:val="28"/>
        </w:rPr>
        <w:t>Elliott</w:t>
      </w:r>
      <w:r>
        <w:rPr>
          <w:rFonts w:cstheme="minorHAnsi"/>
          <w:bCs/>
          <w:iCs/>
          <w:sz w:val="28"/>
          <w:szCs w:val="28"/>
        </w:rPr>
        <w:t>.</w:t>
      </w:r>
    </w:p>
    <w:p w14:paraId="62BEB276" w14:textId="77777777" w:rsidR="00727039" w:rsidRPr="00727039" w:rsidRDefault="0004612B" w:rsidP="0004612B">
      <w:pPr>
        <w:pStyle w:val="ListParagraph"/>
        <w:numPr>
          <w:ilvl w:val="1"/>
          <w:numId w:val="5"/>
        </w:numPr>
        <w:spacing w:line="480" w:lineRule="auto"/>
        <w:rPr>
          <w:rFonts w:cstheme="minorHAnsi"/>
          <w:bCs/>
          <w:sz w:val="28"/>
          <w:szCs w:val="28"/>
        </w:rPr>
      </w:pPr>
      <w:r>
        <w:rPr>
          <w:rFonts w:cstheme="minorHAnsi"/>
          <w:bCs/>
          <w:iCs/>
          <w:sz w:val="28"/>
          <w:szCs w:val="28"/>
        </w:rPr>
        <w:lastRenderedPageBreak/>
        <w:t xml:space="preserve">On appeal, the Ga. Ct. of App. held in </w:t>
      </w:r>
      <w:r>
        <w:rPr>
          <w:rFonts w:cstheme="minorHAnsi"/>
          <w:bCs/>
          <w:i/>
          <w:sz w:val="28"/>
          <w:szCs w:val="28"/>
        </w:rPr>
        <w:t>Bradberry</w:t>
      </w:r>
      <w:r>
        <w:rPr>
          <w:rFonts w:cstheme="minorHAnsi"/>
          <w:bCs/>
          <w:iCs/>
          <w:sz w:val="28"/>
          <w:szCs w:val="28"/>
        </w:rPr>
        <w:t xml:space="preserve"> that, based upon the logic of </w:t>
      </w:r>
      <w:r w:rsidR="000C3A97">
        <w:rPr>
          <w:rFonts w:cstheme="minorHAnsi"/>
          <w:bCs/>
          <w:i/>
          <w:sz w:val="28"/>
          <w:szCs w:val="28"/>
        </w:rPr>
        <w:t>Elliott</w:t>
      </w:r>
      <w:r w:rsidR="000C3A97">
        <w:rPr>
          <w:rFonts w:cstheme="minorHAnsi"/>
          <w:bCs/>
          <w:iCs/>
          <w:sz w:val="28"/>
          <w:szCs w:val="28"/>
        </w:rPr>
        <w:t xml:space="preserve"> the trial court made the correct decision – refusal to submit to pre-arrest testing is NOT admissible</w:t>
      </w:r>
      <w:r w:rsidR="00727039">
        <w:rPr>
          <w:rFonts w:cstheme="minorHAnsi"/>
          <w:bCs/>
          <w:iCs/>
          <w:sz w:val="28"/>
          <w:szCs w:val="28"/>
        </w:rPr>
        <w:t xml:space="preserve">.  </w:t>
      </w:r>
    </w:p>
    <w:p w14:paraId="34E5FE66" w14:textId="532E8830" w:rsidR="0004612B" w:rsidRPr="000C3A97" w:rsidRDefault="00727039" w:rsidP="00727039">
      <w:pPr>
        <w:pStyle w:val="ListParagraph"/>
        <w:numPr>
          <w:ilvl w:val="2"/>
          <w:numId w:val="5"/>
        </w:numPr>
        <w:spacing w:line="480" w:lineRule="auto"/>
        <w:rPr>
          <w:rFonts w:cstheme="minorHAnsi"/>
          <w:bCs/>
          <w:sz w:val="28"/>
          <w:szCs w:val="28"/>
        </w:rPr>
      </w:pPr>
      <w:r>
        <w:rPr>
          <w:rFonts w:cstheme="minorHAnsi"/>
          <w:bCs/>
          <w:iCs/>
          <w:sz w:val="28"/>
          <w:szCs w:val="28"/>
        </w:rPr>
        <w:t>They acknowledged that pre-arrest testing via field sobriety tests are different from post-arrest state-administered testing.  But they concluded the principles applicable to post-arrest testing applies equally to pre-arrest testing.</w:t>
      </w:r>
    </w:p>
    <w:p w14:paraId="690B3A50" w14:textId="6F567D39" w:rsidR="000C3A97" w:rsidRPr="00ED311A" w:rsidRDefault="000C3A97" w:rsidP="0004612B">
      <w:pPr>
        <w:pStyle w:val="ListParagraph"/>
        <w:numPr>
          <w:ilvl w:val="1"/>
          <w:numId w:val="5"/>
        </w:numPr>
        <w:spacing w:line="480" w:lineRule="auto"/>
        <w:rPr>
          <w:rFonts w:cstheme="minorHAnsi"/>
          <w:bCs/>
          <w:sz w:val="28"/>
          <w:szCs w:val="28"/>
        </w:rPr>
      </w:pPr>
      <w:r>
        <w:rPr>
          <w:rFonts w:cstheme="minorHAnsi"/>
          <w:bCs/>
          <w:sz w:val="28"/>
          <w:szCs w:val="28"/>
        </w:rPr>
        <w:t xml:space="preserve">A subsequent decision in </w:t>
      </w:r>
      <w:r>
        <w:rPr>
          <w:rFonts w:cstheme="minorHAnsi"/>
          <w:bCs/>
          <w:i/>
          <w:iCs/>
          <w:sz w:val="28"/>
          <w:szCs w:val="28"/>
        </w:rPr>
        <w:t>State v. Ortiz</w:t>
      </w:r>
      <w:r w:rsidRPr="000C3A97">
        <w:rPr>
          <w:rStyle w:val="EndnoteReference"/>
          <w:rFonts w:cstheme="minorHAnsi"/>
          <w:bCs/>
          <w:szCs w:val="28"/>
        </w:rPr>
        <w:endnoteReference w:id="25"/>
      </w:r>
      <w:r>
        <w:rPr>
          <w:rFonts w:cstheme="minorHAnsi"/>
          <w:bCs/>
          <w:iCs/>
          <w:sz w:val="28"/>
          <w:szCs w:val="28"/>
        </w:rPr>
        <w:t xml:space="preserve"> reaffirmed the </w:t>
      </w:r>
      <w:r>
        <w:rPr>
          <w:rFonts w:cstheme="minorHAnsi"/>
          <w:bCs/>
          <w:i/>
          <w:sz w:val="28"/>
          <w:szCs w:val="28"/>
        </w:rPr>
        <w:t>Bradberry</w:t>
      </w:r>
      <w:r>
        <w:rPr>
          <w:rFonts w:cstheme="minorHAnsi"/>
          <w:bCs/>
          <w:iCs/>
          <w:sz w:val="28"/>
          <w:szCs w:val="28"/>
        </w:rPr>
        <w:t xml:space="preserve"> decision that refusal to submit to standardized field sobriety testing is not admissible at trial.</w:t>
      </w:r>
      <w:r w:rsidR="00465A3F">
        <w:rPr>
          <w:rFonts w:cstheme="minorHAnsi"/>
          <w:bCs/>
          <w:iCs/>
          <w:sz w:val="28"/>
          <w:szCs w:val="28"/>
        </w:rPr>
        <w:t xml:space="preserve"> (yes, </w:t>
      </w:r>
      <w:r w:rsidR="00465A3F">
        <w:rPr>
          <w:rFonts w:cstheme="minorHAnsi"/>
          <w:bCs/>
          <w:i/>
          <w:sz w:val="28"/>
          <w:szCs w:val="28"/>
        </w:rPr>
        <w:t>Ortiz</w:t>
      </w:r>
      <w:r w:rsidR="00465A3F">
        <w:rPr>
          <w:rFonts w:cstheme="minorHAnsi"/>
          <w:bCs/>
          <w:iCs/>
          <w:sz w:val="28"/>
          <w:szCs w:val="28"/>
        </w:rPr>
        <w:t xml:space="preserve"> was decided in May 2022 – we are mighty current here on the Good Judge-ment Podcast).</w:t>
      </w:r>
      <w:r>
        <w:rPr>
          <w:rFonts w:cstheme="minorHAnsi"/>
          <w:bCs/>
          <w:i/>
          <w:iCs/>
          <w:sz w:val="28"/>
          <w:szCs w:val="28"/>
        </w:rPr>
        <w:t xml:space="preserve"> </w:t>
      </w:r>
    </w:p>
    <w:p w14:paraId="51A68BE3" w14:textId="40021C51" w:rsidR="00AE5C1E" w:rsidRPr="00AE5C1E" w:rsidRDefault="00AE5C1E" w:rsidP="00AE5C1E">
      <w:pPr>
        <w:keepNext/>
        <w:spacing w:line="480" w:lineRule="auto"/>
        <w:rPr>
          <w:rStyle w:val="eop"/>
          <w:rFonts w:eastAsia="Times New Roman" w:cstheme="minorHAnsi"/>
          <w:b/>
          <w:sz w:val="28"/>
          <w:szCs w:val="28"/>
        </w:rPr>
      </w:pPr>
      <w:r w:rsidRPr="00BC1C1E">
        <w:pict w14:anchorId="3FD09572">
          <v:rect id="_x0000_i1065" style="width:0;height:1.5pt" o:hralign="center" o:hrstd="t" o:hr="t" fillcolor="#a0a0a0" stroked="f"/>
        </w:pict>
      </w:r>
    </w:p>
    <w:p w14:paraId="28065512" w14:textId="65DFA8F8" w:rsidR="00056F9C" w:rsidRDefault="00AE5C1E" w:rsidP="009A4754">
      <w:pPr>
        <w:pStyle w:val="paragraph"/>
        <w:spacing w:before="0" w:beforeAutospacing="0" w:after="0" w:afterAutospacing="0" w:line="480" w:lineRule="auto"/>
        <w:textAlignment w:val="baseline"/>
        <w:rPr>
          <w:rStyle w:val="eop"/>
          <w:rFonts w:asciiTheme="minorHAnsi" w:hAnsiTheme="minorHAnsi" w:cstheme="minorHAnsi"/>
          <w:b/>
          <w:sz w:val="28"/>
          <w:szCs w:val="28"/>
        </w:rPr>
      </w:pPr>
      <w:r>
        <w:rPr>
          <w:rStyle w:val="eop"/>
          <w:rFonts w:asciiTheme="minorHAnsi" w:hAnsiTheme="minorHAnsi" w:cstheme="minorHAnsi"/>
          <w:b/>
          <w:sz w:val="28"/>
          <w:szCs w:val="28"/>
        </w:rPr>
        <w:t xml:space="preserve">Wade:  </w:t>
      </w:r>
      <w:r w:rsidR="00056F9C" w:rsidRPr="009A4754">
        <w:rPr>
          <w:rStyle w:val="eop"/>
          <w:rFonts w:asciiTheme="minorHAnsi" w:hAnsiTheme="minorHAnsi" w:cstheme="minorHAnsi"/>
          <w:b/>
          <w:sz w:val="28"/>
          <w:szCs w:val="28"/>
        </w:rPr>
        <w:t xml:space="preserve">Well let’s recap what we’ve learned today.  </w:t>
      </w:r>
      <w:r w:rsidR="00465A3F">
        <w:rPr>
          <w:rStyle w:val="eop"/>
          <w:rFonts w:asciiTheme="minorHAnsi" w:hAnsiTheme="minorHAnsi" w:cstheme="minorHAnsi"/>
          <w:b/>
          <w:sz w:val="28"/>
          <w:szCs w:val="28"/>
        </w:rPr>
        <w:t xml:space="preserve">Georgia appellate courts have found that refusal to submit to </w:t>
      </w:r>
      <w:r w:rsidR="00727039">
        <w:rPr>
          <w:rStyle w:val="eop"/>
          <w:rFonts w:asciiTheme="minorHAnsi" w:hAnsiTheme="minorHAnsi" w:cstheme="minorHAnsi"/>
          <w:b/>
          <w:sz w:val="28"/>
          <w:szCs w:val="28"/>
        </w:rPr>
        <w:t xml:space="preserve">post-arrest </w:t>
      </w:r>
      <w:r w:rsidR="00465A3F">
        <w:rPr>
          <w:rStyle w:val="eop"/>
          <w:rFonts w:asciiTheme="minorHAnsi" w:hAnsiTheme="minorHAnsi" w:cstheme="minorHAnsi"/>
          <w:b/>
          <w:sz w:val="28"/>
          <w:szCs w:val="28"/>
        </w:rPr>
        <w:t>testing is not admissible at trial.</w:t>
      </w:r>
    </w:p>
    <w:p w14:paraId="5A25F354" w14:textId="68546D07" w:rsidR="00043AC5" w:rsidRPr="00043AC5" w:rsidRDefault="00AE5C1E" w:rsidP="009A4754">
      <w:pPr>
        <w:pStyle w:val="paragraph"/>
        <w:spacing w:before="0" w:beforeAutospacing="0" w:after="0" w:afterAutospacing="0" w:line="480" w:lineRule="auto"/>
        <w:textAlignment w:val="baseline"/>
        <w:rPr>
          <w:rStyle w:val="eop"/>
          <w:rFonts w:asciiTheme="minorHAnsi" w:hAnsiTheme="minorHAnsi" w:cstheme="minorHAnsi"/>
          <w:bCs/>
          <w:i/>
          <w:iCs/>
          <w:sz w:val="28"/>
          <w:szCs w:val="28"/>
        </w:rPr>
      </w:pPr>
      <w:r>
        <w:rPr>
          <w:rStyle w:val="eop"/>
          <w:rFonts w:asciiTheme="minorHAnsi" w:hAnsiTheme="minorHAnsi" w:cstheme="minorHAnsi"/>
          <w:bCs/>
          <w:i/>
          <w:iCs/>
          <w:sz w:val="28"/>
          <w:szCs w:val="28"/>
        </w:rPr>
        <w:t>Tain:</w:t>
      </w:r>
      <w:r>
        <w:rPr>
          <w:rStyle w:val="eop"/>
          <w:rFonts w:asciiTheme="minorHAnsi" w:hAnsiTheme="minorHAnsi" w:cstheme="minorHAnsi"/>
          <w:bCs/>
          <w:i/>
          <w:iCs/>
          <w:sz w:val="28"/>
          <w:szCs w:val="28"/>
        </w:rPr>
        <w:tab/>
      </w:r>
      <w:r w:rsidR="00727039">
        <w:rPr>
          <w:rStyle w:val="eop"/>
          <w:rFonts w:asciiTheme="minorHAnsi" w:hAnsiTheme="minorHAnsi" w:cstheme="minorHAnsi"/>
          <w:bCs/>
          <w:i/>
          <w:iCs/>
          <w:sz w:val="28"/>
          <w:szCs w:val="28"/>
        </w:rPr>
        <w:t>As a result of those decisions addressing post-arrest testing in a DUI case, the Ga. appellate courts have concluded that refusal to participate in pre-arrest testing is also inadmissible at trial.</w:t>
      </w:r>
    </w:p>
    <w:p w14:paraId="41828816" w14:textId="74749D53" w:rsidR="00056F9C" w:rsidRPr="00F44F3C" w:rsidRDefault="00AE5C1E" w:rsidP="009A4754">
      <w:pPr>
        <w:pStyle w:val="paragraph"/>
        <w:spacing w:before="0" w:beforeAutospacing="0" w:after="0" w:afterAutospacing="0" w:line="480" w:lineRule="auto"/>
        <w:textAlignment w:val="baseline"/>
        <w:rPr>
          <w:rStyle w:val="eop"/>
          <w:rFonts w:asciiTheme="minorHAnsi" w:hAnsiTheme="minorHAnsi" w:cstheme="minorHAnsi"/>
          <w:b/>
          <w:i/>
          <w:iCs/>
          <w:sz w:val="28"/>
          <w:szCs w:val="28"/>
        </w:rPr>
      </w:pPr>
      <w:r>
        <w:rPr>
          <w:rStyle w:val="eop"/>
          <w:rFonts w:asciiTheme="minorHAnsi" w:hAnsiTheme="minorHAnsi" w:cstheme="minorHAnsi"/>
          <w:b/>
          <w:i/>
          <w:iCs/>
          <w:sz w:val="28"/>
          <w:szCs w:val="28"/>
        </w:rPr>
        <w:lastRenderedPageBreak/>
        <w:t xml:space="preserve">Ben:  </w:t>
      </w:r>
      <w:r w:rsidR="009634C6">
        <w:rPr>
          <w:rStyle w:val="eop"/>
          <w:rFonts w:asciiTheme="minorHAnsi" w:hAnsiTheme="minorHAnsi" w:cstheme="minorHAnsi"/>
          <w:b/>
          <w:i/>
          <w:iCs/>
          <w:sz w:val="28"/>
          <w:szCs w:val="28"/>
        </w:rPr>
        <w:t>All of these decisions are consistent with older Ga. precedent that concluded that the rights afforded by the Ga. Constitution are greater than those afforded by the US Constitution.  Any time a defendant is asked to perform an “act” that might tend to incriminate him/her, the defendant can refuse that request.  And that refusal is not admissible at trial.</w:t>
      </w:r>
    </w:p>
    <w:p w14:paraId="5050F17E" w14:textId="18672435" w:rsidR="000E47B0" w:rsidRPr="00F44F3C" w:rsidRDefault="00F44F3C" w:rsidP="009A4754">
      <w:pPr>
        <w:pStyle w:val="paragraph"/>
        <w:spacing w:before="0" w:beforeAutospacing="0" w:after="0" w:afterAutospacing="0" w:line="480" w:lineRule="auto"/>
        <w:textAlignment w:val="baseline"/>
        <w:rPr>
          <w:rStyle w:val="eop"/>
          <w:rFonts w:asciiTheme="minorHAnsi" w:hAnsiTheme="minorHAnsi" w:cstheme="minorHAnsi"/>
          <w:b/>
          <w:sz w:val="28"/>
          <w:szCs w:val="28"/>
        </w:rPr>
      </w:pPr>
      <w:r>
        <w:rPr>
          <w:rStyle w:val="eop"/>
          <w:rFonts w:asciiTheme="minorHAnsi" w:hAnsiTheme="minorHAnsi" w:cstheme="minorHAnsi"/>
          <w:b/>
          <w:sz w:val="28"/>
          <w:szCs w:val="28"/>
        </w:rPr>
        <w:t xml:space="preserve">Wade: </w:t>
      </w:r>
      <w:r w:rsidR="009634C6">
        <w:rPr>
          <w:rStyle w:val="eop"/>
          <w:rFonts w:asciiTheme="minorHAnsi" w:hAnsiTheme="minorHAnsi" w:cstheme="minorHAnsi"/>
          <w:b/>
          <w:sz w:val="28"/>
          <w:szCs w:val="28"/>
        </w:rPr>
        <w:t xml:space="preserve">As always, </w:t>
      </w:r>
      <w:r>
        <w:rPr>
          <w:rStyle w:val="eop"/>
          <w:rFonts w:asciiTheme="minorHAnsi" w:hAnsiTheme="minorHAnsi" w:cstheme="minorHAnsi"/>
          <w:b/>
          <w:sz w:val="28"/>
          <w:szCs w:val="28"/>
        </w:rPr>
        <w:t xml:space="preserve">our </w:t>
      </w:r>
      <w:r w:rsidR="009634C6">
        <w:rPr>
          <w:rStyle w:val="eop"/>
          <w:rFonts w:asciiTheme="minorHAnsi" w:hAnsiTheme="minorHAnsi" w:cstheme="minorHAnsi"/>
          <w:b/>
          <w:sz w:val="28"/>
          <w:szCs w:val="28"/>
        </w:rPr>
        <w:t xml:space="preserve">episode </w:t>
      </w:r>
      <w:r>
        <w:rPr>
          <w:rStyle w:val="eop"/>
          <w:rFonts w:asciiTheme="minorHAnsi" w:hAnsiTheme="minorHAnsi" w:cstheme="minorHAnsi"/>
          <w:b/>
          <w:sz w:val="28"/>
          <w:szCs w:val="28"/>
        </w:rPr>
        <w:t>outline that can be found at goodjudgepod.com</w:t>
      </w:r>
      <w:r w:rsidR="00140018">
        <w:rPr>
          <w:rStyle w:val="eop"/>
          <w:rFonts w:asciiTheme="minorHAnsi" w:hAnsiTheme="minorHAnsi" w:cstheme="minorHAnsi"/>
          <w:b/>
          <w:sz w:val="28"/>
          <w:szCs w:val="28"/>
        </w:rPr>
        <w:t>, together with citations to authority</w:t>
      </w:r>
      <w:r w:rsidR="000B6647">
        <w:rPr>
          <w:rStyle w:val="eop"/>
          <w:rFonts w:asciiTheme="minorHAnsi" w:hAnsiTheme="minorHAnsi" w:cstheme="minorHAnsi"/>
          <w:b/>
          <w:sz w:val="28"/>
          <w:szCs w:val="28"/>
        </w:rPr>
        <w:t xml:space="preserve"> for all of these different points of law we have discussed.</w:t>
      </w:r>
    </w:p>
    <w:p w14:paraId="3E666454" w14:textId="7919AE83" w:rsidR="00056F9C" w:rsidRPr="00140018" w:rsidRDefault="00F44F3C" w:rsidP="00140018">
      <w:pPr>
        <w:pStyle w:val="paragraph"/>
        <w:spacing w:before="0" w:beforeAutospacing="0" w:after="0" w:afterAutospacing="0" w:line="480" w:lineRule="auto"/>
        <w:textAlignment w:val="baseline"/>
        <w:rPr>
          <w:rFonts w:asciiTheme="minorHAnsi" w:hAnsiTheme="minorHAnsi" w:cstheme="minorHAnsi"/>
          <w:i/>
          <w:sz w:val="28"/>
          <w:szCs w:val="28"/>
        </w:rPr>
      </w:pPr>
      <w:r w:rsidRPr="00140018">
        <w:rPr>
          <w:rFonts w:asciiTheme="minorHAnsi" w:hAnsiTheme="minorHAnsi" w:cstheme="minorHAnsi"/>
          <w:i/>
          <w:sz w:val="28"/>
          <w:szCs w:val="28"/>
        </w:rPr>
        <w:t xml:space="preserve">Tain:  We are going to continue this series on DUI law and it will ultimately include several different episodes.  </w:t>
      </w:r>
      <w:r w:rsidR="00140018" w:rsidRPr="00140018">
        <w:rPr>
          <w:rFonts w:asciiTheme="minorHAnsi" w:hAnsiTheme="minorHAnsi" w:cstheme="minorHAnsi"/>
          <w:i/>
          <w:sz w:val="28"/>
          <w:szCs w:val="28"/>
        </w:rPr>
        <w:t>You don’t want to miss an</w:t>
      </w:r>
      <w:r w:rsidR="00140018">
        <w:rPr>
          <w:rFonts w:asciiTheme="minorHAnsi" w:hAnsiTheme="minorHAnsi" w:cstheme="minorHAnsi"/>
          <w:i/>
          <w:sz w:val="28"/>
          <w:szCs w:val="28"/>
        </w:rPr>
        <w:t xml:space="preserve">y part of this exciting series, </w:t>
      </w:r>
      <w:r w:rsidR="00140018" w:rsidRPr="00140018">
        <w:rPr>
          <w:rFonts w:asciiTheme="minorHAnsi" w:hAnsiTheme="minorHAnsi" w:cstheme="minorHAnsi"/>
          <w:i/>
          <w:sz w:val="28"/>
          <w:szCs w:val="28"/>
        </w:rPr>
        <w:t>so</w:t>
      </w:r>
      <w:r w:rsidR="00056F9C" w:rsidRPr="00140018">
        <w:rPr>
          <w:rFonts w:asciiTheme="minorHAnsi" w:hAnsiTheme="minorHAnsi" w:cstheme="minorHAnsi"/>
          <w:i/>
          <w:sz w:val="28"/>
          <w:szCs w:val="28"/>
        </w:rPr>
        <w:t xml:space="preserve"> be sure to follow The Good Judge-ment podcast on your favorite platform and “like” us</w:t>
      </w:r>
      <w:r w:rsidR="000B6647">
        <w:rPr>
          <w:rFonts w:asciiTheme="minorHAnsi" w:hAnsiTheme="minorHAnsi" w:cstheme="minorHAnsi"/>
          <w:i/>
          <w:sz w:val="28"/>
          <w:szCs w:val="28"/>
        </w:rPr>
        <w:t xml:space="preserve">, </w:t>
      </w:r>
      <w:r w:rsidR="00056F9C" w:rsidRPr="00140018">
        <w:rPr>
          <w:rFonts w:asciiTheme="minorHAnsi" w:hAnsiTheme="minorHAnsi" w:cstheme="minorHAnsi"/>
          <w:i/>
          <w:sz w:val="28"/>
          <w:szCs w:val="28"/>
        </w:rPr>
        <w:t>just for fun!</w:t>
      </w:r>
    </w:p>
    <w:p w14:paraId="7923AE66" w14:textId="6323BBA5" w:rsidR="00056F9C" w:rsidRDefault="00056F9C" w:rsidP="009A4754">
      <w:pPr>
        <w:pStyle w:val="paragraph"/>
        <w:spacing w:before="0" w:beforeAutospacing="0" w:after="0" w:afterAutospacing="0" w:line="480" w:lineRule="auto"/>
        <w:textAlignment w:val="baseline"/>
        <w:rPr>
          <w:rFonts w:asciiTheme="minorHAnsi" w:hAnsiTheme="minorHAnsi" w:cstheme="minorHAnsi"/>
          <w:b/>
          <w:sz w:val="28"/>
          <w:szCs w:val="28"/>
        </w:rPr>
      </w:pPr>
      <w:r w:rsidRPr="009A4754">
        <w:rPr>
          <w:rFonts w:asciiTheme="minorHAnsi" w:hAnsiTheme="minorHAnsi" w:cstheme="minorHAnsi"/>
          <w:b/>
          <w:sz w:val="28"/>
          <w:szCs w:val="28"/>
        </w:rPr>
        <w:t>I’m Wade Padgett</w:t>
      </w:r>
    </w:p>
    <w:p w14:paraId="6CE2840D" w14:textId="6E278C2E" w:rsidR="00140018" w:rsidRPr="00140018" w:rsidRDefault="00140018" w:rsidP="009A4754">
      <w:pPr>
        <w:pStyle w:val="paragraph"/>
        <w:spacing w:before="0" w:beforeAutospacing="0" w:after="0" w:afterAutospacing="0" w:line="480" w:lineRule="auto"/>
        <w:textAlignment w:val="baseline"/>
        <w:rPr>
          <w:rFonts w:asciiTheme="minorHAnsi" w:hAnsiTheme="minorHAnsi" w:cstheme="minorHAnsi"/>
          <w:b/>
          <w:i/>
          <w:iCs/>
          <w:sz w:val="28"/>
          <w:szCs w:val="28"/>
        </w:rPr>
      </w:pPr>
      <w:r w:rsidRPr="00140018">
        <w:rPr>
          <w:rFonts w:asciiTheme="minorHAnsi" w:hAnsiTheme="minorHAnsi" w:cstheme="minorHAnsi"/>
          <w:b/>
          <w:i/>
          <w:iCs/>
          <w:sz w:val="28"/>
          <w:szCs w:val="28"/>
        </w:rPr>
        <w:t>I’m Ben Studdard</w:t>
      </w:r>
    </w:p>
    <w:p w14:paraId="68E66E9F" w14:textId="33512906" w:rsidR="00056F9C" w:rsidRPr="009A4754" w:rsidRDefault="00056F9C" w:rsidP="009A4754">
      <w:pPr>
        <w:pStyle w:val="paragraph"/>
        <w:spacing w:before="0" w:beforeAutospacing="0" w:after="0" w:afterAutospacing="0" w:line="480" w:lineRule="auto"/>
        <w:textAlignment w:val="baseline"/>
        <w:rPr>
          <w:rFonts w:asciiTheme="minorHAnsi" w:hAnsiTheme="minorHAnsi" w:cstheme="minorHAnsi"/>
          <w:i/>
          <w:sz w:val="28"/>
          <w:szCs w:val="28"/>
        </w:rPr>
      </w:pPr>
      <w:r w:rsidRPr="009A4754">
        <w:rPr>
          <w:rFonts w:asciiTheme="minorHAnsi" w:hAnsiTheme="minorHAnsi" w:cstheme="minorHAnsi"/>
          <w:i/>
          <w:sz w:val="28"/>
          <w:szCs w:val="28"/>
        </w:rPr>
        <w:t>And I’m Tain Kell…  [insert funny thing</w:t>
      </w:r>
      <w:r w:rsidR="009634C6">
        <w:rPr>
          <w:rFonts w:asciiTheme="minorHAnsi" w:hAnsiTheme="minorHAnsi" w:cstheme="minorHAnsi"/>
          <w:i/>
          <w:sz w:val="28"/>
          <w:szCs w:val="28"/>
        </w:rPr>
        <w:t xml:space="preserve"> – consider comedian Ron White’s bit about having the right to remain silent, but not having the </w:t>
      </w:r>
      <w:r w:rsidR="009634C6" w:rsidRPr="00A9618E">
        <w:rPr>
          <w:rFonts w:asciiTheme="minorHAnsi" w:hAnsiTheme="minorHAnsi" w:cstheme="minorHAnsi"/>
          <w:i/>
          <w:sz w:val="28"/>
          <w:szCs w:val="28"/>
          <w:u w:val="single"/>
        </w:rPr>
        <w:t>ability</w:t>
      </w:r>
      <w:r w:rsidR="009634C6">
        <w:rPr>
          <w:rFonts w:asciiTheme="minorHAnsi" w:hAnsiTheme="minorHAnsi" w:cstheme="minorHAnsi"/>
          <w:i/>
          <w:sz w:val="28"/>
          <w:szCs w:val="28"/>
        </w:rPr>
        <w:t xml:space="preserve"> to </w:t>
      </w:r>
      <w:r w:rsidR="00A9618E">
        <w:rPr>
          <w:rFonts w:asciiTheme="minorHAnsi" w:hAnsiTheme="minorHAnsi" w:cstheme="minorHAnsi"/>
          <w:i/>
          <w:sz w:val="28"/>
          <w:szCs w:val="28"/>
        </w:rPr>
        <w:t>do so</w:t>
      </w:r>
      <w:r w:rsidRPr="009A4754">
        <w:rPr>
          <w:rFonts w:asciiTheme="minorHAnsi" w:hAnsiTheme="minorHAnsi" w:cstheme="minorHAnsi"/>
          <w:i/>
          <w:sz w:val="28"/>
          <w:szCs w:val="28"/>
        </w:rPr>
        <w:t>]</w:t>
      </w:r>
    </w:p>
    <w:sectPr w:rsidR="00056F9C" w:rsidRPr="009A4754" w:rsidSect="00B819C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F98B3" w14:textId="77777777" w:rsidR="0038454E" w:rsidRDefault="0038454E" w:rsidP="003D1656">
      <w:pPr>
        <w:spacing w:after="0" w:line="240" w:lineRule="auto"/>
      </w:pPr>
      <w:r>
        <w:separator/>
      </w:r>
    </w:p>
  </w:endnote>
  <w:endnote w:type="continuationSeparator" w:id="0">
    <w:p w14:paraId="3366F7F6" w14:textId="77777777" w:rsidR="0038454E" w:rsidRDefault="0038454E" w:rsidP="003D1656">
      <w:pPr>
        <w:spacing w:after="0" w:line="240" w:lineRule="auto"/>
      </w:pPr>
      <w:r>
        <w:continuationSeparator/>
      </w:r>
    </w:p>
  </w:endnote>
  <w:endnote w:id="1">
    <w:p w14:paraId="41EB37E4" w14:textId="5F1DC48A" w:rsidR="007A7B70" w:rsidRDefault="007A7B70">
      <w:pPr>
        <w:pStyle w:val="EndnoteText"/>
      </w:pPr>
      <w:r>
        <w:rPr>
          <w:rStyle w:val="EndnoteReference"/>
        </w:rPr>
        <w:endnoteRef/>
      </w:r>
      <w:r>
        <w:t xml:space="preserve"> </w:t>
      </w:r>
      <w:r>
        <w:rPr>
          <w:i/>
        </w:rPr>
        <w:t>Elliott v. State</w:t>
      </w:r>
      <w:r>
        <w:t>, 305 Ga. 179 (2019).</w:t>
      </w:r>
    </w:p>
  </w:endnote>
  <w:endnote w:id="2">
    <w:p w14:paraId="3C2C464B" w14:textId="77777777" w:rsidR="00282DF9" w:rsidRDefault="00282DF9" w:rsidP="00282DF9">
      <w:pPr>
        <w:pStyle w:val="EndnoteText"/>
      </w:pPr>
      <w:r>
        <w:rPr>
          <w:rStyle w:val="EndnoteReference"/>
        </w:rPr>
        <w:endnoteRef/>
      </w:r>
      <w:r>
        <w:t xml:space="preserve"> </w:t>
      </w:r>
      <w:r>
        <w:rPr>
          <w:i/>
        </w:rPr>
        <w:t>Elliott v. State</w:t>
      </w:r>
      <w:r>
        <w:t>, 305 Ga. 179 (2019).</w:t>
      </w:r>
    </w:p>
  </w:endnote>
  <w:endnote w:id="3">
    <w:p w14:paraId="6CA04D34" w14:textId="77777777" w:rsidR="00F40E62" w:rsidRDefault="00F40E62" w:rsidP="00F40E62">
      <w:pPr>
        <w:pStyle w:val="EndnoteText"/>
      </w:pPr>
      <w:r>
        <w:rPr>
          <w:rStyle w:val="EndnoteReference"/>
        </w:rPr>
        <w:endnoteRef/>
      </w:r>
      <w:r>
        <w:t xml:space="preserve"> </w:t>
      </w:r>
      <w:r>
        <w:rPr>
          <w:i/>
        </w:rPr>
        <w:t>Elliott v. State</w:t>
      </w:r>
      <w:r>
        <w:t>, 305 Ga. 179 (2019), p. 91 of slip opinion.</w:t>
      </w:r>
    </w:p>
  </w:endnote>
  <w:endnote w:id="4">
    <w:p w14:paraId="3B2AA2DC" w14:textId="77777777" w:rsidR="00F40E62" w:rsidRDefault="00F40E62" w:rsidP="00F40E62">
      <w:pPr>
        <w:pStyle w:val="EndnoteText"/>
      </w:pPr>
      <w:r>
        <w:rPr>
          <w:rStyle w:val="EndnoteReference"/>
        </w:rPr>
        <w:endnoteRef/>
      </w:r>
      <w:r>
        <w:t xml:space="preserve"> </w:t>
      </w:r>
      <w:r w:rsidRPr="00A61784">
        <w:rPr>
          <w:i/>
        </w:rPr>
        <w:t>Williams v. State</w:t>
      </w:r>
      <w:r w:rsidRPr="00A61784">
        <w:t>, 296 Ga. 817 (2015).</w:t>
      </w:r>
    </w:p>
  </w:endnote>
  <w:endnote w:id="5">
    <w:p w14:paraId="6DB69940" w14:textId="3BADB2A7" w:rsidR="00F40E62" w:rsidRDefault="00F40E62" w:rsidP="00F40E62">
      <w:pPr>
        <w:pStyle w:val="EndnoteText"/>
      </w:pPr>
      <w:r>
        <w:rPr>
          <w:rStyle w:val="EndnoteReference"/>
        </w:rPr>
        <w:endnoteRef/>
      </w:r>
      <w:r>
        <w:t xml:space="preserve"> </w:t>
      </w:r>
      <w:r>
        <w:rPr>
          <w:rFonts w:eastAsia="Times New Roman"/>
        </w:rPr>
        <w:t>Exigent circumstances is another recognized exception to the Warrant Requirement</w:t>
      </w:r>
      <w:r w:rsidR="00A9618E">
        <w:rPr>
          <w:rFonts w:eastAsia="Times New Roman"/>
        </w:rPr>
        <w:t xml:space="preserve">.  Not frequently relied upon but </w:t>
      </w:r>
      <w:r>
        <w:rPr>
          <w:rFonts w:eastAsia="Times New Roman"/>
        </w:rPr>
        <w:t xml:space="preserve"> it was discussed extensively in </w:t>
      </w:r>
      <w:r>
        <w:rPr>
          <w:rFonts w:eastAsia="Times New Roman"/>
          <w:i/>
          <w:iCs/>
        </w:rPr>
        <w:t>Williams</w:t>
      </w:r>
      <w:r>
        <w:rPr>
          <w:rFonts w:eastAsia="Times New Roman"/>
        </w:rPr>
        <w:t>.</w:t>
      </w:r>
    </w:p>
  </w:endnote>
  <w:endnote w:id="6">
    <w:p w14:paraId="11222975" w14:textId="77777777" w:rsidR="00F40E62" w:rsidRPr="003B2A44" w:rsidRDefault="00F40E62" w:rsidP="00F40E62">
      <w:pPr>
        <w:pStyle w:val="EndnoteText"/>
      </w:pPr>
      <w:r>
        <w:rPr>
          <w:rStyle w:val="EndnoteReference"/>
        </w:rPr>
        <w:endnoteRef/>
      </w:r>
      <w:r>
        <w:t xml:space="preserve"> </w:t>
      </w:r>
      <w:r>
        <w:rPr>
          <w:i/>
        </w:rPr>
        <w:t>Williams v. State</w:t>
      </w:r>
      <w:r>
        <w:t xml:space="preserve">, 296 Ga. 817, 821 (2015), as discussed in </w:t>
      </w:r>
      <w:r>
        <w:rPr>
          <w:i/>
        </w:rPr>
        <w:t>Olevik v. State</w:t>
      </w:r>
      <w:r>
        <w:t>, 302 Ga. 228, 233 (2017).</w:t>
      </w:r>
    </w:p>
  </w:endnote>
  <w:endnote w:id="7">
    <w:p w14:paraId="669D350F" w14:textId="77777777" w:rsidR="00F40E62" w:rsidRPr="00C729C4" w:rsidRDefault="00F40E62" w:rsidP="00F40E62">
      <w:pPr>
        <w:pStyle w:val="EndnoteText"/>
      </w:pPr>
      <w:r>
        <w:rPr>
          <w:rStyle w:val="EndnoteReference"/>
        </w:rPr>
        <w:endnoteRef/>
      </w:r>
      <w:r>
        <w:t xml:space="preserve"> </w:t>
      </w:r>
      <w:r>
        <w:rPr>
          <w:i/>
          <w:iCs/>
        </w:rPr>
        <w:t>Olevik v. State</w:t>
      </w:r>
      <w:r>
        <w:t xml:space="preserve">, 302 Ga. 228, 234 (2017), citing </w:t>
      </w:r>
      <w:r>
        <w:rPr>
          <w:i/>
          <w:iCs/>
        </w:rPr>
        <w:t>Williams v. State</w:t>
      </w:r>
      <w:r>
        <w:t>, 296 Ga. 817, 821 (2015).</w:t>
      </w:r>
    </w:p>
  </w:endnote>
  <w:endnote w:id="8">
    <w:p w14:paraId="38096C32" w14:textId="77777777" w:rsidR="00F40E62" w:rsidRPr="00BF6C2C" w:rsidRDefault="00F40E62" w:rsidP="00F40E62">
      <w:pPr>
        <w:pStyle w:val="EndnoteText"/>
      </w:pPr>
      <w:r>
        <w:rPr>
          <w:rStyle w:val="EndnoteReference"/>
        </w:rPr>
        <w:endnoteRef/>
      </w:r>
      <w:r>
        <w:t xml:space="preserve"> </w:t>
      </w:r>
      <w:r>
        <w:rPr>
          <w:i/>
        </w:rPr>
        <w:t>Williams v. State</w:t>
      </w:r>
      <w:r>
        <w:t xml:space="preserve">, 296 Ga. 817, 821-822 (2015), citing </w:t>
      </w:r>
      <w:r>
        <w:rPr>
          <w:i/>
        </w:rPr>
        <w:t>Cooper v. State</w:t>
      </w:r>
      <w:r>
        <w:t>, 277 Ga. 282, 285 (2003).</w:t>
      </w:r>
    </w:p>
  </w:endnote>
  <w:endnote w:id="9">
    <w:p w14:paraId="5C889BA5" w14:textId="77777777" w:rsidR="00F40E62" w:rsidRPr="0056160D" w:rsidRDefault="00F40E62" w:rsidP="00F40E62">
      <w:pPr>
        <w:pStyle w:val="EndnoteText"/>
      </w:pPr>
      <w:r>
        <w:rPr>
          <w:rStyle w:val="EndnoteReference"/>
        </w:rPr>
        <w:endnoteRef/>
      </w:r>
      <w:r>
        <w:t xml:space="preserve"> </w:t>
      </w:r>
      <w:r>
        <w:rPr>
          <w:i/>
          <w:iCs/>
        </w:rPr>
        <w:t>State v. Bradberry</w:t>
      </w:r>
      <w:r>
        <w:t>, 357 Ga. App. 60, 62-63 (2020).</w:t>
      </w:r>
    </w:p>
  </w:endnote>
  <w:endnote w:id="10">
    <w:p w14:paraId="7FC7EED7" w14:textId="77777777" w:rsidR="00F40E62" w:rsidRDefault="00F40E62" w:rsidP="00F40E62">
      <w:pPr>
        <w:pStyle w:val="EndnoteText"/>
      </w:pPr>
      <w:r>
        <w:rPr>
          <w:rStyle w:val="EndnoteReference"/>
        </w:rPr>
        <w:endnoteRef/>
      </w:r>
      <w:r>
        <w:t xml:space="preserve"> </w:t>
      </w:r>
      <w:r>
        <w:rPr>
          <w:i/>
        </w:rPr>
        <w:t>Williams v. State</w:t>
      </w:r>
      <w:r>
        <w:t>, 296 Ga. 817, 823 (2015).</w:t>
      </w:r>
    </w:p>
  </w:endnote>
  <w:endnote w:id="11">
    <w:p w14:paraId="20DCFDAF" w14:textId="42C40F9C" w:rsidR="0039605A" w:rsidRDefault="0039605A">
      <w:pPr>
        <w:pStyle w:val="EndnoteText"/>
      </w:pPr>
      <w:r>
        <w:rPr>
          <w:rStyle w:val="EndnoteReference"/>
        </w:rPr>
        <w:endnoteRef/>
      </w:r>
      <w:r>
        <w:t xml:space="preserve"> </w:t>
      </w:r>
      <w:r>
        <w:rPr>
          <w:i/>
        </w:rPr>
        <w:t>Olevik v. State</w:t>
      </w:r>
      <w:r>
        <w:t>, 302 Ga. 228 (2017).</w:t>
      </w:r>
    </w:p>
  </w:endnote>
  <w:endnote w:id="12">
    <w:p w14:paraId="58B650AE" w14:textId="10398C6C" w:rsidR="0039605A" w:rsidRDefault="0039605A">
      <w:pPr>
        <w:pStyle w:val="EndnoteText"/>
      </w:pPr>
      <w:r>
        <w:rPr>
          <w:rStyle w:val="EndnoteReference"/>
        </w:rPr>
        <w:endnoteRef/>
      </w:r>
      <w:r>
        <w:t xml:space="preserve"> </w:t>
      </w:r>
      <w:r w:rsidRPr="003F1D61">
        <w:rPr>
          <w:i/>
        </w:rPr>
        <w:t>Olevik v. State</w:t>
      </w:r>
      <w:r w:rsidRPr="003F1D61">
        <w:t>, 302 Ga. 228, 242-244 (2017) (“If the State sought to capture and test a person's naturally exhaled breath, this might well be a different case. But this is not how a breath test is performed. Sustained strong blowing into a machine for several seconds requires a suspect to breathe unnaturally for the purpose of generating evidence against himself. Indeed, for the State to be able to test an individual's breath for alcohol content, it is required that the defendant cooperate by performing an act.”)</w:t>
      </w:r>
    </w:p>
  </w:endnote>
  <w:endnote w:id="13">
    <w:p w14:paraId="279F035D" w14:textId="770667AC" w:rsidR="00F86953" w:rsidRDefault="00F86953">
      <w:pPr>
        <w:pStyle w:val="EndnoteText"/>
      </w:pPr>
      <w:r>
        <w:rPr>
          <w:rStyle w:val="EndnoteReference"/>
        </w:rPr>
        <w:endnoteRef/>
      </w:r>
      <w:r>
        <w:t xml:space="preserve"> </w:t>
      </w:r>
      <w:r>
        <w:rPr>
          <w:i/>
        </w:rPr>
        <w:t>Olevik v. State</w:t>
      </w:r>
      <w:r>
        <w:t xml:space="preserve">, 302 Ga. 228, 242 (2017); See </w:t>
      </w:r>
      <w:r>
        <w:rPr>
          <w:i/>
        </w:rPr>
        <w:t>Drake v. State</w:t>
      </w:r>
      <w:r>
        <w:t xml:space="preserve">, 75 Ga. 413, 414-415 (1885) (taking blood-stained clothes from defendant); </w:t>
      </w:r>
      <w:r>
        <w:rPr>
          <w:i/>
        </w:rPr>
        <w:t>Quarterman v. State</w:t>
      </w:r>
      <w:r>
        <w:t xml:space="preserve">, 282 Ga. 383, 386 (2007) (taking DNA sample from defendant); </w:t>
      </w:r>
      <w:r>
        <w:rPr>
          <w:i/>
        </w:rPr>
        <w:t>State v. Thornton</w:t>
      </w:r>
      <w:r>
        <w:t xml:space="preserve">, 253 Ga. 524, 525 (1984) (taking impression of defendant’s teeth); </w:t>
      </w:r>
      <w:r>
        <w:rPr>
          <w:i/>
        </w:rPr>
        <w:t>Strong v. State</w:t>
      </w:r>
      <w:r>
        <w:t>, 231 Ga. 514 (1973) (taking blood from unconscious defendant).</w:t>
      </w:r>
    </w:p>
  </w:endnote>
  <w:endnote w:id="14">
    <w:p w14:paraId="43D4BE95" w14:textId="21D1C659" w:rsidR="00F86953" w:rsidRDefault="00F86953">
      <w:pPr>
        <w:pStyle w:val="EndnoteText"/>
      </w:pPr>
      <w:r>
        <w:rPr>
          <w:rStyle w:val="EndnoteReference"/>
        </w:rPr>
        <w:endnoteRef/>
      </w:r>
      <w:r>
        <w:t xml:space="preserve"> </w:t>
      </w:r>
      <w:r>
        <w:rPr>
          <w:i/>
        </w:rPr>
        <w:t>Olevik v. State</w:t>
      </w:r>
      <w:r>
        <w:t>, 302 Ga. 228, 243 (2017).</w:t>
      </w:r>
    </w:p>
  </w:endnote>
  <w:endnote w:id="15">
    <w:p w14:paraId="76963280" w14:textId="7021AEC7" w:rsidR="00F86953" w:rsidRDefault="00F86953">
      <w:pPr>
        <w:pStyle w:val="EndnoteText"/>
      </w:pPr>
      <w:r>
        <w:rPr>
          <w:rStyle w:val="EndnoteReference"/>
        </w:rPr>
        <w:endnoteRef/>
      </w:r>
      <w:r>
        <w:t xml:space="preserve"> </w:t>
      </w:r>
      <w:r>
        <w:rPr>
          <w:i/>
        </w:rPr>
        <w:t>Olevik v. State</w:t>
      </w:r>
      <w:r>
        <w:t>, 302 Ga. 228, n. 9 (2017).</w:t>
      </w:r>
    </w:p>
  </w:endnote>
  <w:endnote w:id="16">
    <w:p w14:paraId="7A2410BB" w14:textId="77777777" w:rsidR="00344659" w:rsidRDefault="00344659" w:rsidP="00344659">
      <w:pPr>
        <w:pStyle w:val="EndnoteText"/>
      </w:pPr>
      <w:r>
        <w:rPr>
          <w:rStyle w:val="EndnoteReference"/>
        </w:rPr>
        <w:endnoteRef/>
      </w:r>
      <w:r>
        <w:t xml:space="preserve"> </w:t>
      </w:r>
      <w:r>
        <w:rPr>
          <w:i/>
        </w:rPr>
        <w:t>Elliott v. State</w:t>
      </w:r>
      <w:r>
        <w:t>, 305 Ga. 179 (2019), p. 90, n. 30 of slip opinion.</w:t>
      </w:r>
    </w:p>
  </w:endnote>
  <w:endnote w:id="17">
    <w:p w14:paraId="54A2BF95" w14:textId="77777777" w:rsidR="00344659" w:rsidRDefault="00344659" w:rsidP="00344659">
      <w:pPr>
        <w:pStyle w:val="EndnoteText"/>
      </w:pPr>
      <w:r>
        <w:rPr>
          <w:rStyle w:val="EndnoteReference"/>
        </w:rPr>
        <w:endnoteRef/>
      </w:r>
      <w:r>
        <w:t xml:space="preserve"> </w:t>
      </w:r>
      <w:r>
        <w:rPr>
          <w:i/>
        </w:rPr>
        <w:t>Elliott v. State</w:t>
      </w:r>
      <w:r>
        <w:t>, 305 Ga. 179 (2019), p. 1 of concurrence in slip opinion.</w:t>
      </w:r>
    </w:p>
  </w:endnote>
  <w:endnote w:id="18">
    <w:p w14:paraId="5C1DD73D" w14:textId="26A7E85C" w:rsidR="003D27E1" w:rsidRDefault="003D27E1" w:rsidP="003D27E1">
      <w:pPr>
        <w:pStyle w:val="EndnoteText"/>
      </w:pPr>
      <w:r>
        <w:rPr>
          <w:rStyle w:val="EndnoteReference"/>
        </w:rPr>
        <w:endnoteRef/>
      </w:r>
      <w:r>
        <w:t xml:space="preserve"> We have specifically discussed this exact issue during </w:t>
      </w:r>
      <w:r w:rsidR="00A9618E">
        <w:t xml:space="preserve">judge </w:t>
      </w:r>
      <w:r>
        <w:t>training and I opined that urine testing requires the defendant to perform an act (i.e. urinate) which is prohibited under the Georgia Constitution.  This section of the bench book confirms that my suspicions were correct.</w:t>
      </w:r>
    </w:p>
  </w:endnote>
  <w:endnote w:id="19">
    <w:p w14:paraId="7FD72B94" w14:textId="77777777" w:rsidR="003D27E1" w:rsidRPr="002028CA" w:rsidRDefault="003D27E1" w:rsidP="003D27E1">
      <w:pPr>
        <w:pStyle w:val="EndnoteText"/>
      </w:pPr>
      <w:r>
        <w:rPr>
          <w:rStyle w:val="EndnoteReference"/>
        </w:rPr>
        <w:endnoteRef/>
      </w:r>
      <w:r>
        <w:t xml:space="preserve"> </w:t>
      </w:r>
      <w:r>
        <w:rPr>
          <w:i/>
          <w:iCs/>
        </w:rPr>
        <w:t>Awad v. State</w:t>
      </w:r>
      <w:r>
        <w:t>, __ Ga. __, 868 S.E.2d 219 (2022).</w:t>
      </w:r>
    </w:p>
  </w:endnote>
  <w:endnote w:id="20">
    <w:p w14:paraId="7CAFC698" w14:textId="77777777" w:rsidR="003D27E1" w:rsidRDefault="003D27E1" w:rsidP="003D27E1">
      <w:pPr>
        <w:pStyle w:val="EndnoteText"/>
      </w:pPr>
      <w:r>
        <w:rPr>
          <w:rStyle w:val="EndnoteReference"/>
        </w:rPr>
        <w:endnoteRef/>
      </w:r>
      <w:r>
        <w:t xml:space="preserve"> </w:t>
      </w:r>
      <w:r>
        <w:rPr>
          <w:i/>
          <w:iCs/>
        </w:rPr>
        <w:t>Awad v. State</w:t>
      </w:r>
      <w:r>
        <w:t>, __ Ga. __, 868 S.E.2d 219 (2022).</w:t>
      </w:r>
    </w:p>
  </w:endnote>
  <w:endnote w:id="21">
    <w:p w14:paraId="412B8CF9" w14:textId="77777777" w:rsidR="008E7465" w:rsidRDefault="008E7465" w:rsidP="008E7465">
      <w:pPr>
        <w:pStyle w:val="EndnoteText"/>
      </w:pPr>
      <w:r>
        <w:rPr>
          <w:rStyle w:val="EndnoteReference"/>
        </w:rPr>
        <w:endnoteRef/>
      </w:r>
      <w:r>
        <w:t xml:space="preserve"> HB 471, 2019-2020 Regular Session of the Georgia Legislature, passed March 21, 2019.</w:t>
      </w:r>
    </w:p>
  </w:endnote>
  <w:endnote w:id="22">
    <w:p w14:paraId="3ECC00E7" w14:textId="36CD5FA4" w:rsidR="008E7465" w:rsidRDefault="008E7465" w:rsidP="008E7465">
      <w:pPr>
        <w:pStyle w:val="EndnoteText"/>
      </w:pPr>
      <w:r>
        <w:rPr>
          <w:rStyle w:val="EndnoteReference"/>
        </w:rPr>
        <w:endnoteRef/>
      </w:r>
      <w:r>
        <w:t xml:space="preserve"> Although the decisions clearly indicate that the refusal to submit to state-administered testing cannot be admitted at trial, the revised version of § 40-5-67.1 retained the language, “</w:t>
      </w:r>
      <w:r w:rsidRPr="00BE079C">
        <w:t>Your refusal to submit to blood or urine testing may be offered into evidence against you at trial.</w:t>
      </w:r>
      <w:r>
        <w:t xml:space="preserve">”  </w:t>
      </w:r>
      <w:r w:rsidR="00A9618E">
        <w:t>We</w:t>
      </w:r>
      <w:r>
        <w:t xml:space="preserve"> offer no opinion as to whether the continued inclusion of this language will impact future cases.</w:t>
      </w:r>
    </w:p>
  </w:endnote>
  <w:endnote w:id="23">
    <w:p w14:paraId="2A320857" w14:textId="3D08DE93" w:rsidR="00FE4EAE" w:rsidRDefault="00FE4EAE">
      <w:pPr>
        <w:pStyle w:val="EndnoteText"/>
      </w:pPr>
      <w:r>
        <w:rPr>
          <w:rStyle w:val="EndnoteReference"/>
        </w:rPr>
        <w:endnoteRef/>
      </w:r>
      <w:r>
        <w:t xml:space="preserve"> </w:t>
      </w:r>
      <w:r>
        <w:rPr>
          <w:i/>
          <w:iCs/>
        </w:rPr>
        <w:t>State v. Bradberry</w:t>
      </w:r>
      <w:r>
        <w:t>, 357 Ga. App. 60, 65-66 (2020).</w:t>
      </w:r>
    </w:p>
  </w:endnote>
  <w:endnote w:id="24">
    <w:p w14:paraId="7FA788F7" w14:textId="443ABED4" w:rsidR="0004612B" w:rsidRDefault="0004612B">
      <w:pPr>
        <w:pStyle w:val="EndnoteText"/>
      </w:pPr>
      <w:r>
        <w:rPr>
          <w:rStyle w:val="EndnoteReference"/>
        </w:rPr>
        <w:endnoteRef/>
      </w:r>
      <w:r>
        <w:t xml:space="preserve"> </w:t>
      </w:r>
      <w:r>
        <w:rPr>
          <w:i/>
        </w:rPr>
        <w:t>Long v. State</w:t>
      </w:r>
      <w:r>
        <w:t>, 271 Ga. App. 565 (2004)</w:t>
      </w:r>
      <w:r>
        <w:t xml:space="preserve">; </w:t>
      </w:r>
      <w:r>
        <w:rPr>
          <w:i/>
          <w:iCs/>
        </w:rPr>
        <w:t>Keenan v. State</w:t>
      </w:r>
      <w:r>
        <w:t xml:space="preserve">, 263 Ga. 569 (1993).  The </w:t>
      </w:r>
      <w:r>
        <w:rPr>
          <w:i/>
          <w:iCs/>
        </w:rPr>
        <w:t>Bradberry</w:t>
      </w:r>
      <w:r>
        <w:t xml:space="preserve"> Court did not attempt to distinguish or even address the decision in </w:t>
      </w:r>
      <w:r>
        <w:rPr>
          <w:i/>
          <w:iCs/>
        </w:rPr>
        <w:t>Keenan</w:t>
      </w:r>
      <w:r>
        <w:t xml:space="preserve">.  Admittedly, </w:t>
      </w:r>
      <w:r>
        <w:rPr>
          <w:i/>
          <w:iCs/>
        </w:rPr>
        <w:t xml:space="preserve">Keenan </w:t>
      </w:r>
      <w:r>
        <w:t xml:space="preserve">was decided long before </w:t>
      </w:r>
      <w:r>
        <w:rPr>
          <w:i/>
          <w:iCs/>
        </w:rPr>
        <w:t>Elliott</w:t>
      </w:r>
      <w:r>
        <w:t xml:space="preserve"> and </w:t>
      </w:r>
      <w:r>
        <w:rPr>
          <w:i/>
          <w:iCs/>
        </w:rPr>
        <w:t>Olevik</w:t>
      </w:r>
      <w:r>
        <w:t xml:space="preserve"> were decided.  However, in another decision, the Supreme Court commented on the holding in </w:t>
      </w:r>
      <w:r>
        <w:rPr>
          <w:i/>
          <w:iCs/>
        </w:rPr>
        <w:t>Keenan</w:t>
      </w:r>
      <w:r>
        <w:t xml:space="preserve"> with approval while discussing the impact of </w:t>
      </w:r>
      <w:r>
        <w:rPr>
          <w:i/>
          <w:iCs/>
        </w:rPr>
        <w:t>Elliott</w:t>
      </w:r>
      <w:r>
        <w:t xml:space="preserve"> and </w:t>
      </w:r>
      <w:r>
        <w:rPr>
          <w:i/>
          <w:iCs/>
        </w:rPr>
        <w:t>Olevik</w:t>
      </w:r>
      <w:r>
        <w:t xml:space="preserve"> on another argument in a DUI case.  </w:t>
      </w:r>
      <w:r>
        <w:rPr>
          <w:i/>
          <w:iCs/>
        </w:rPr>
        <w:t>State v. Turnquest</w:t>
      </w:r>
      <w:r>
        <w:t>, 305 Ga. 758, 771-772 (2019).</w:t>
      </w:r>
    </w:p>
  </w:endnote>
  <w:endnote w:id="25">
    <w:p w14:paraId="1AAF8B23" w14:textId="1339DA6D" w:rsidR="000C3A97" w:rsidRDefault="000C3A97">
      <w:pPr>
        <w:pStyle w:val="EndnoteText"/>
      </w:pPr>
      <w:r>
        <w:rPr>
          <w:rStyle w:val="EndnoteReference"/>
        </w:rPr>
        <w:endnoteRef/>
      </w:r>
      <w:r>
        <w:t xml:space="preserve"> </w:t>
      </w:r>
      <w:r w:rsidRPr="00101BAF">
        <w:rPr>
          <w:rFonts w:eastAsia="Times New Roman"/>
          <w:i/>
          <w:iCs/>
          <w:shd w:val="clear" w:color="auto" w:fill="FFFFFF"/>
        </w:rPr>
        <w:t>S</w:t>
      </w:r>
      <w:r w:rsidRPr="00795CB0">
        <w:rPr>
          <w:rFonts w:eastAsia="Times New Roman"/>
          <w:i/>
          <w:iCs/>
          <w:color w:val="000000"/>
          <w:shd w:val="clear" w:color="auto" w:fill="FFFFFF"/>
        </w:rPr>
        <w:t>tate v. Ortiz</w:t>
      </w:r>
      <w:r w:rsidRPr="00795CB0">
        <w:rPr>
          <w:rFonts w:eastAsia="Times New Roman"/>
          <w:color w:val="000000"/>
          <w:bdr w:val="none" w:sz="0" w:space="0" w:color="auto" w:frame="1"/>
          <w:shd w:val="clear" w:color="auto" w:fill="FFFFFF"/>
        </w:rPr>
        <w:t>, No. A22A0474, 2022 WL 149285</w:t>
      </w:r>
      <w:r>
        <w:rPr>
          <w:rFonts w:eastAsia="Times New Roman"/>
          <w:color w:val="000000"/>
          <w:bdr w:val="none" w:sz="0" w:space="0" w:color="auto" w:frame="1"/>
          <w:shd w:val="clear" w:color="auto" w:fill="FFFFFF"/>
        </w:rPr>
        <w:t>1, at *6-7</w:t>
      </w:r>
      <w:r w:rsidRPr="00795CB0">
        <w:rPr>
          <w:rFonts w:eastAsia="Times New Roman"/>
          <w:color w:val="000000"/>
          <w:bdr w:val="none" w:sz="0" w:space="0" w:color="auto" w:frame="1"/>
          <w:shd w:val="clear" w:color="auto" w:fill="FFFFFF"/>
        </w:rPr>
        <w:t xml:space="preserve"> (Ga. Ct. App. May 4, 2022)</w:t>
      </w:r>
      <w:r>
        <w:rPr>
          <w:rFonts w:eastAsia="Times New Roman"/>
          <w:color w:val="000000"/>
          <w:bdr w:val="none" w:sz="0" w:space="0" w:color="auto" w:frame="1"/>
          <w:shd w:val="clear" w:color="auto" w:fill="FFFFFF"/>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478D" w14:textId="77777777" w:rsidR="00493622" w:rsidRDefault="00493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894A" w14:textId="77777777" w:rsidR="00493622" w:rsidRDefault="00493622" w:rsidP="00C527D7">
    <w:pPr>
      <w:pStyle w:val="Footer"/>
      <w:tabs>
        <w:tab w:val="clear" w:pos="4680"/>
        <w:tab w:val="clear" w:pos="9360"/>
      </w:tabs>
      <w:jc w:val="center"/>
      <w:rPr>
        <w:b/>
        <w:bCs/>
        <w:sz w:val="20"/>
        <w:szCs w:val="20"/>
      </w:rPr>
    </w:pPr>
  </w:p>
  <w:p w14:paraId="62FFDBF2" w14:textId="24D0312B" w:rsidR="003D0F81" w:rsidRDefault="00493622" w:rsidP="00C527D7">
    <w:pPr>
      <w:pStyle w:val="Footer"/>
      <w:tabs>
        <w:tab w:val="clear" w:pos="4680"/>
        <w:tab w:val="clear" w:pos="9360"/>
      </w:tabs>
      <w:jc w:val="center"/>
      <w:rPr>
        <w:b/>
        <w:bCs/>
        <w:sz w:val="20"/>
        <w:szCs w:val="20"/>
      </w:rPr>
    </w:pPr>
    <w:r>
      <w:rPr>
        <w:b/>
        <w:bCs/>
        <w:sz w:val="20"/>
        <w:szCs w:val="20"/>
      </w:rPr>
      <w:t>DUI EPISODE #</w:t>
    </w:r>
    <w:r w:rsidR="00ED311A">
      <w:rPr>
        <w:b/>
        <w:bCs/>
        <w:sz w:val="20"/>
        <w:szCs w:val="20"/>
      </w:rPr>
      <w:t>2</w:t>
    </w:r>
    <w:r w:rsidR="003D0F81">
      <w:rPr>
        <w:b/>
        <w:bCs/>
        <w:sz w:val="20"/>
        <w:szCs w:val="20"/>
      </w:rPr>
      <w:t xml:space="preserve"> – EPISODE NOTES</w:t>
    </w:r>
  </w:p>
  <w:p w14:paraId="0CA5BFF0" w14:textId="3E0AC883" w:rsidR="003D0F81" w:rsidRPr="00DB0007" w:rsidRDefault="003D0F81" w:rsidP="00C527D7">
    <w:pPr>
      <w:pStyle w:val="Footer"/>
      <w:tabs>
        <w:tab w:val="clear" w:pos="4680"/>
        <w:tab w:val="clear" w:pos="9360"/>
      </w:tabs>
      <w:jc w:val="center"/>
      <w:rPr>
        <w:b/>
        <w:bCs/>
        <w:sz w:val="20"/>
        <w:szCs w:val="20"/>
      </w:rPr>
    </w:pPr>
    <w:r>
      <w:rPr>
        <w:b/>
        <w:bCs/>
        <w:sz w:val="20"/>
        <w:szCs w:val="20"/>
      </w:rPr>
      <w:t xml:space="preserve">RECORDED </w:t>
    </w:r>
    <w:r w:rsidR="00493622">
      <w:rPr>
        <w:b/>
        <w:bCs/>
        <w:sz w:val="20"/>
        <w:szCs w:val="20"/>
      </w:rPr>
      <w:t>7</w:t>
    </w:r>
    <w:r>
      <w:rPr>
        <w:b/>
        <w:bCs/>
        <w:sz w:val="20"/>
        <w:szCs w:val="20"/>
      </w:rPr>
      <w:t>/2</w:t>
    </w:r>
    <w:r w:rsidR="00493622">
      <w:rPr>
        <w:b/>
        <w:bCs/>
        <w:sz w:val="20"/>
        <w:szCs w:val="20"/>
      </w:rPr>
      <w:t>0</w:t>
    </w:r>
    <w:r>
      <w:rPr>
        <w:b/>
        <w:bCs/>
        <w:sz w:val="20"/>
        <w:szCs w:val="20"/>
      </w:rPr>
      <w:t>/2022</w:t>
    </w:r>
  </w:p>
  <w:p w14:paraId="4DC118AD" w14:textId="77777777" w:rsidR="003D0F81" w:rsidRDefault="003D0F81" w:rsidP="00C527D7">
    <w:pPr>
      <w:pStyle w:val="Footer"/>
      <w:jc w:val="center"/>
    </w:pPr>
    <w:r w:rsidRPr="00DB0007">
      <w:rPr>
        <w:b/>
        <w:bCs/>
        <w:sz w:val="20"/>
        <w:szCs w:val="20"/>
      </w:rPr>
      <w:t xml:space="preserve">Page </w:t>
    </w:r>
    <w:r w:rsidRPr="00DB0007">
      <w:rPr>
        <w:b/>
        <w:bCs/>
        <w:sz w:val="20"/>
        <w:szCs w:val="20"/>
      </w:rPr>
      <w:fldChar w:fldCharType="begin"/>
    </w:r>
    <w:r w:rsidRPr="00DB0007">
      <w:rPr>
        <w:b/>
        <w:bCs/>
        <w:sz w:val="20"/>
        <w:szCs w:val="20"/>
      </w:rPr>
      <w:instrText xml:space="preserve"> PAGE  \* Arabic  \* MERGEFORMAT </w:instrText>
    </w:r>
    <w:r w:rsidRPr="00DB0007">
      <w:rPr>
        <w:b/>
        <w:bCs/>
        <w:sz w:val="20"/>
        <w:szCs w:val="20"/>
      </w:rPr>
      <w:fldChar w:fldCharType="separate"/>
    </w:r>
    <w:r>
      <w:rPr>
        <w:b/>
        <w:bCs/>
        <w:sz w:val="20"/>
        <w:szCs w:val="20"/>
      </w:rPr>
      <w:t>5</w:t>
    </w:r>
    <w:r w:rsidRPr="00DB0007">
      <w:rPr>
        <w:b/>
        <w:bCs/>
        <w:sz w:val="20"/>
        <w:szCs w:val="20"/>
      </w:rPr>
      <w:fldChar w:fldCharType="end"/>
    </w:r>
    <w:r w:rsidRPr="00DB0007">
      <w:rPr>
        <w:b/>
        <w:bCs/>
        <w:sz w:val="20"/>
        <w:szCs w:val="20"/>
      </w:rPr>
      <w:t xml:space="preserve"> of </w:t>
    </w:r>
    <w:r w:rsidRPr="00DB0007">
      <w:rPr>
        <w:b/>
        <w:bCs/>
        <w:sz w:val="20"/>
        <w:szCs w:val="20"/>
      </w:rPr>
      <w:fldChar w:fldCharType="begin"/>
    </w:r>
    <w:r w:rsidRPr="00DB0007">
      <w:rPr>
        <w:b/>
        <w:bCs/>
        <w:sz w:val="20"/>
        <w:szCs w:val="20"/>
      </w:rPr>
      <w:instrText xml:space="preserve"> NUMPAGES  \* Arabic  \* MERGEFORMAT </w:instrText>
    </w:r>
    <w:r w:rsidRPr="00DB0007">
      <w:rPr>
        <w:b/>
        <w:bCs/>
        <w:sz w:val="20"/>
        <w:szCs w:val="20"/>
      </w:rPr>
      <w:fldChar w:fldCharType="separate"/>
    </w:r>
    <w:r>
      <w:rPr>
        <w:b/>
        <w:bCs/>
        <w:sz w:val="20"/>
        <w:szCs w:val="20"/>
      </w:rPr>
      <w:t>8</w:t>
    </w:r>
    <w:r w:rsidRPr="00DB0007">
      <w:rPr>
        <w:b/>
        <w:bCs/>
        <w:sz w:val="20"/>
        <w:szCs w:val="20"/>
      </w:rPr>
      <w:fldChar w:fldCharType="end"/>
    </w:r>
  </w:p>
  <w:p w14:paraId="3F0CF6E1" w14:textId="77777777" w:rsidR="003D0F81" w:rsidRDefault="003D0F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67AA" w14:textId="77777777" w:rsidR="00493622" w:rsidRDefault="00493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BF116" w14:textId="77777777" w:rsidR="0038454E" w:rsidRDefault="0038454E" w:rsidP="003D1656">
      <w:pPr>
        <w:spacing w:after="0" w:line="240" w:lineRule="auto"/>
      </w:pPr>
      <w:r>
        <w:separator/>
      </w:r>
    </w:p>
  </w:footnote>
  <w:footnote w:type="continuationSeparator" w:id="0">
    <w:p w14:paraId="6139B5FB" w14:textId="77777777" w:rsidR="0038454E" w:rsidRDefault="0038454E" w:rsidP="003D1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137A1" w14:textId="77777777" w:rsidR="00493622" w:rsidRDefault="00493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41554" w14:textId="77777777" w:rsidR="00493622" w:rsidRDefault="004936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711F" w14:textId="77777777" w:rsidR="00493622" w:rsidRDefault="00493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3F9A"/>
    <w:multiLevelType w:val="multilevel"/>
    <w:tmpl w:val="3DBEFA24"/>
    <w:lvl w:ilvl="0">
      <w:start w:val="1"/>
      <w:numFmt w:val="decimal"/>
      <w:lvlText w:val="%1)"/>
      <w:lvlJc w:val="right"/>
      <w:pPr>
        <w:ind w:left="360" w:hanging="72"/>
      </w:pPr>
      <w:rPr>
        <w:rFonts w:hint="default"/>
      </w:rPr>
    </w:lvl>
    <w:lvl w:ilvl="1">
      <w:start w:val="1"/>
      <w:numFmt w:val="lowerLetter"/>
      <w:lvlText w:val="%2)"/>
      <w:lvlJc w:val="right"/>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4)"/>
      <w:lvlJc w:val="right"/>
      <w:pPr>
        <w:ind w:left="1440" w:hanging="360"/>
      </w:pPr>
      <w:rPr>
        <w:rFonts w:asciiTheme="minorHAnsi" w:hAnsiTheme="minorHAnsi" w:hint="default"/>
        <w:b/>
        <w:i w:val="0"/>
        <w:color w:val="auto"/>
        <w:sz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B5388C"/>
    <w:multiLevelType w:val="multilevel"/>
    <w:tmpl w:val="08A89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300BEC"/>
    <w:multiLevelType w:val="multilevel"/>
    <w:tmpl w:val="1E0059B0"/>
    <w:lvl w:ilvl="0">
      <w:start w:val="1"/>
      <w:numFmt w:val="decimal"/>
      <w:lvlText w:val="%1)"/>
      <w:lvlJc w:val="right"/>
      <w:pPr>
        <w:ind w:left="360" w:hanging="72"/>
      </w:pPr>
      <w:rPr>
        <w:rFonts w:hint="default"/>
      </w:rPr>
    </w:lvl>
    <w:lvl w:ilvl="1">
      <w:start w:val="1"/>
      <w:numFmt w:val="lowerLetter"/>
      <w:lvlText w:val="%2)"/>
      <w:lvlJc w:val="righ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right"/>
      <w:pPr>
        <w:ind w:left="1440" w:hanging="360"/>
      </w:pPr>
      <w:rPr>
        <w:rFonts w:asciiTheme="minorHAnsi" w:hAnsiTheme="minorHAnsi" w:hint="default"/>
        <w:b/>
        <w:i w:val="0"/>
        <w:color w:val="auto"/>
        <w:sz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8190DEC"/>
    <w:multiLevelType w:val="multilevel"/>
    <w:tmpl w:val="7A3E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C15D45"/>
    <w:multiLevelType w:val="hybridMultilevel"/>
    <w:tmpl w:val="18108750"/>
    <w:lvl w:ilvl="0" w:tplc="301617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4A796B"/>
    <w:multiLevelType w:val="multilevel"/>
    <w:tmpl w:val="AC501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156810">
    <w:abstractNumId w:val="3"/>
  </w:num>
  <w:num w:numId="2" w16cid:durableId="1199396745">
    <w:abstractNumId w:val="5"/>
  </w:num>
  <w:num w:numId="3" w16cid:durableId="1734767385">
    <w:abstractNumId w:val="1"/>
  </w:num>
  <w:num w:numId="4" w16cid:durableId="245384830">
    <w:abstractNumId w:val="2"/>
  </w:num>
  <w:num w:numId="5" w16cid:durableId="1498613326">
    <w:abstractNumId w:val="0"/>
  </w:num>
  <w:num w:numId="6" w16cid:durableId="5898938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D24"/>
    <w:rsid w:val="000076E1"/>
    <w:rsid w:val="0003349C"/>
    <w:rsid w:val="00043AC5"/>
    <w:rsid w:val="0004612B"/>
    <w:rsid w:val="00053434"/>
    <w:rsid w:val="00056F9C"/>
    <w:rsid w:val="000A14C6"/>
    <w:rsid w:val="000B6647"/>
    <w:rsid w:val="000C3A97"/>
    <w:rsid w:val="000E47B0"/>
    <w:rsid w:val="001064BC"/>
    <w:rsid w:val="00112DAF"/>
    <w:rsid w:val="00140018"/>
    <w:rsid w:val="00145BE9"/>
    <w:rsid w:val="00181723"/>
    <w:rsid w:val="00184F80"/>
    <w:rsid w:val="00187B15"/>
    <w:rsid w:val="001B4F6B"/>
    <w:rsid w:val="00201435"/>
    <w:rsid w:val="00205A19"/>
    <w:rsid w:val="00241207"/>
    <w:rsid w:val="00282DF9"/>
    <w:rsid w:val="002B2D45"/>
    <w:rsid w:val="002C49E7"/>
    <w:rsid w:val="002C6681"/>
    <w:rsid w:val="002D5F38"/>
    <w:rsid w:val="00344659"/>
    <w:rsid w:val="00362958"/>
    <w:rsid w:val="0038454E"/>
    <w:rsid w:val="0039605A"/>
    <w:rsid w:val="003D0F81"/>
    <w:rsid w:val="003D1656"/>
    <w:rsid w:val="003D27E1"/>
    <w:rsid w:val="003D3FAD"/>
    <w:rsid w:val="003E482D"/>
    <w:rsid w:val="004114E7"/>
    <w:rsid w:val="004321F2"/>
    <w:rsid w:val="00437CB7"/>
    <w:rsid w:val="004431EB"/>
    <w:rsid w:val="00465A3F"/>
    <w:rsid w:val="00474DFB"/>
    <w:rsid w:val="00487663"/>
    <w:rsid w:val="00493622"/>
    <w:rsid w:val="004D29E0"/>
    <w:rsid w:val="00533058"/>
    <w:rsid w:val="005B216F"/>
    <w:rsid w:val="005D0F8A"/>
    <w:rsid w:val="005D6EB1"/>
    <w:rsid w:val="005F1E63"/>
    <w:rsid w:val="005F3C7F"/>
    <w:rsid w:val="00605180"/>
    <w:rsid w:val="00667527"/>
    <w:rsid w:val="00667D30"/>
    <w:rsid w:val="00670026"/>
    <w:rsid w:val="00685C2F"/>
    <w:rsid w:val="006A1D24"/>
    <w:rsid w:val="006C5ABE"/>
    <w:rsid w:val="00727039"/>
    <w:rsid w:val="00762FCE"/>
    <w:rsid w:val="00792749"/>
    <w:rsid w:val="0079387C"/>
    <w:rsid w:val="007A7B70"/>
    <w:rsid w:val="0087415F"/>
    <w:rsid w:val="008A2B0D"/>
    <w:rsid w:val="008E7465"/>
    <w:rsid w:val="009634C6"/>
    <w:rsid w:val="009648DF"/>
    <w:rsid w:val="009A4754"/>
    <w:rsid w:val="009B3811"/>
    <w:rsid w:val="009D15C9"/>
    <w:rsid w:val="009D49DD"/>
    <w:rsid w:val="00A04717"/>
    <w:rsid w:val="00A22917"/>
    <w:rsid w:val="00A422D6"/>
    <w:rsid w:val="00A9618E"/>
    <w:rsid w:val="00AE5C1E"/>
    <w:rsid w:val="00AF6B4E"/>
    <w:rsid w:val="00AF7BF7"/>
    <w:rsid w:val="00B36967"/>
    <w:rsid w:val="00B51D1C"/>
    <w:rsid w:val="00B615B9"/>
    <w:rsid w:val="00B61D6B"/>
    <w:rsid w:val="00B819C7"/>
    <w:rsid w:val="00B876E3"/>
    <w:rsid w:val="00BC1C1E"/>
    <w:rsid w:val="00BE5880"/>
    <w:rsid w:val="00C429A1"/>
    <w:rsid w:val="00D3061D"/>
    <w:rsid w:val="00D36AB1"/>
    <w:rsid w:val="00DA1A65"/>
    <w:rsid w:val="00DC09BF"/>
    <w:rsid w:val="00DC2F1A"/>
    <w:rsid w:val="00DD6482"/>
    <w:rsid w:val="00DF24B1"/>
    <w:rsid w:val="00E2060E"/>
    <w:rsid w:val="00E226E8"/>
    <w:rsid w:val="00E46FA5"/>
    <w:rsid w:val="00E61455"/>
    <w:rsid w:val="00E61F69"/>
    <w:rsid w:val="00E857F9"/>
    <w:rsid w:val="00EC4691"/>
    <w:rsid w:val="00ED311A"/>
    <w:rsid w:val="00F40E62"/>
    <w:rsid w:val="00F44F3C"/>
    <w:rsid w:val="00F86953"/>
    <w:rsid w:val="00FA2EFB"/>
    <w:rsid w:val="00FB29D7"/>
    <w:rsid w:val="00FE1085"/>
    <w:rsid w:val="00FE4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33DD6"/>
  <w15:chartTrackingRefBased/>
  <w15:docId w15:val="{C833DF89-1A0E-4271-95EE-F7610F80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D4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rfcpassagedeactivated">
    <w:name w:val="ss_rfcpassage_deactivated"/>
    <w:basedOn w:val="DefaultParagraphFont"/>
    <w:rsid w:val="00FE1085"/>
  </w:style>
  <w:style w:type="character" w:customStyle="1" w:styleId="ssib">
    <w:name w:val="ss_ib"/>
    <w:basedOn w:val="DefaultParagraphFont"/>
    <w:rsid w:val="00FE1085"/>
  </w:style>
  <w:style w:type="character" w:styleId="Hyperlink">
    <w:name w:val="Hyperlink"/>
    <w:basedOn w:val="DefaultParagraphFont"/>
    <w:uiPriority w:val="99"/>
    <w:unhideWhenUsed/>
    <w:rsid w:val="00FE1085"/>
    <w:rPr>
      <w:color w:val="0000FF"/>
      <w:u w:val="single"/>
    </w:rPr>
  </w:style>
  <w:style w:type="character" w:customStyle="1" w:styleId="ssit">
    <w:name w:val="ss_it"/>
    <w:basedOn w:val="DefaultParagraphFont"/>
    <w:rsid w:val="00FE1085"/>
  </w:style>
  <w:style w:type="paragraph" w:customStyle="1" w:styleId="paragraph">
    <w:name w:val="paragraph"/>
    <w:basedOn w:val="Normal"/>
    <w:rsid w:val="00E61F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61F69"/>
  </w:style>
  <w:style w:type="character" w:customStyle="1" w:styleId="eop">
    <w:name w:val="eop"/>
    <w:basedOn w:val="DefaultParagraphFont"/>
    <w:rsid w:val="00E61F69"/>
  </w:style>
  <w:style w:type="character" w:customStyle="1" w:styleId="spellingerror">
    <w:name w:val="spellingerror"/>
    <w:basedOn w:val="DefaultParagraphFont"/>
    <w:rsid w:val="00E61F69"/>
  </w:style>
  <w:style w:type="paragraph" w:styleId="BalloonText">
    <w:name w:val="Balloon Text"/>
    <w:basedOn w:val="Normal"/>
    <w:link w:val="BalloonTextChar"/>
    <w:uiPriority w:val="99"/>
    <w:semiHidden/>
    <w:unhideWhenUsed/>
    <w:qFormat/>
    <w:rsid w:val="00964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8DF"/>
    <w:rPr>
      <w:rFonts w:ascii="Segoe UI" w:hAnsi="Segoe UI" w:cs="Segoe UI"/>
      <w:sz w:val="18"/>
      <w:szCs w:val="18"/>
    </w:rPr>
  </w:style>
  <w:style w:type="paragraph" w:styleId="FootnoteText">
    <w:name w:val="footnote text"/>
    <w:basedOn w:val="Normal"/>
    <w:link w:val="FootnoteTextChar"/>
    <w:uiPriority w:val="99"/>
    <w:unhideWhenUsed/>
    <w:rsid w:val="003D1656"/>
    <w:pPr>
      <w:spacing w:after="0" w:line="240" w:lineRule="auto"/>
    </w:pPr>
    <w:rPr>
      <w:sz w:val="20"/>
      <w:szCs w:val="20"/>
    </w:rPr>
  </w:style>
  <w:style w:type="character" w:customStyle="1" w:styleId="FootnoteTextChar">
    <w:name w:val="Footnote Text Char"/>
    <w:basedOn w:val="DefaultParagraphFont"/>
    <w:link w:val="FootnoteText"/>
    <w:uiPriority w:val="99"/>
    <w:rsid w:val="003D1656"/>
    <w:rPr>
      <w:sz w:val="20"/>
      <w:szCs w:val="20"/>
    </w:rPr>
  </w:style>
  <w:style w:type="character" w:styleId="FootnoteReference">
    <w:name w:val="footnote reference"/>
    <w:basedOn w:val="DefaultParagraphFont"/>
    <w:uiPriority w:val="99"/>
    <w:unhideWhenUsed/>
    <w:rsid w:val="003D1656"/>
    <w:rPr>
      <w:rFonts w:ascii="Times New Roman" w:hAnsi="Times New Roman"/>
      <w:b/>
      <w:sz w:val="24"/>
      <w:vertAlign w:val="superscript"/>
    </w:rPr>
  </w:style>
  <w:style w:type="character" w:styleId="UnresolvedMention">
    <w:name w:val="Unresolved Mention"/>
    <w:basedOn w:val="DefaultParagraphFont"/>
    <w:uiPriority w:val="99"/>
    <w:semiHidden/>
    <w:unhideWhenUsed/>
    <w:rsid w:val="005B216F"/>
    <w:rPr>
      <w:color w:val="605E5C"/>
      <w:shd w:val="clear" w:color="auto" w:fill="E1DFDD"/>
    </w:rPr>
  </w:style>
  <w:style w:type="paragraph" w:styleId="Header">
    <w:name w:val="header"/>
    <w:basedOn w:val="Normal"/>
    <w:link w:val="HeaderChar"/>
    <w:uiPriority w:val="99"/>
    <w:unhideWhenUsed/>
    <w:rsid w:val="003D0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F81"/>
  </w:style>
  <w:style w:type="paragraph" w:styleId="Footer">
    <w:name w:val="footer"/>
    <w:basedOn w:val="Normal"/>
    <w:link w:val="FooterChar"/>
    <w:uiPriority w:val="99"/>
    <w:unhideWhenUsed/>
    <w:rsid w:val="003D0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F81"/>
  </w:style>
  <w:style w:type="table" w:styleId="TableGrid">
    <w:name w:val="Table Grid"/>
    <w:basedOn w:val="TableNormal"/>
    <w:uiPriority w:val="59"/>
    <w:rsid w:val="00DA1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7D30"/>
    <w:pPr>
      <w:ind w:left="720"/>
      <w:contextualSpacing/>
    </w:pPr>
  </w:style>
  <w:style w:type="paragraph" w:styleId="EndnoteText">
    <w:name w:val="endnote text"/>
    <w:aliases w:val="Endnote Text 12"/>
    <w:basedOn w:val="Normal"/>
    <w:link w:val="EndnoteTextChar"/>
    <w:uiPriority w:val="99"/>
    <w:qFormat/>
    <w:rsid w:val="00493622"/>
    <w:pPr>
      <w:spacing w:before="120" w:after="120" w:line="240" w:lineRule="auto"/>
      <w:ind w:left="432" w:hanging="432"/>
    </w:pPr>
    <w:rPr>
      <w:rFonts w:ascii="Times New Roman" w:hAnsi="Times New Roman" w:cs="Times New Roman"/>
      <w:sz w:val="24"/>
      <w:szCs w:val="20"/>
    </w:rPr>
  </w:style>
  <w:style w:type="character" w:customStyle="1" w:styleId="EndnoteTextChar">
    <w:name w:val="Endnote Text Char"/>
    <w:aliases w:val="Endnote Text 12 Char"/>
    <w:basedOn w:val="DefaultParagraphFont"/>
    <w:link w:val="EndnoteText"/>
    <w:uiPriority w:val="99"/>
    <w:rsid w:val="00493622"/>
    <w:rPr>
      <w:rFonts w:ascii="Times New Roman" w:hAnsi="Times New Roman" w:cs="Times New Roman"/>
      <w:sz w:val="24"/>
      <w:szCs w:val="20"/>
    </w:rPr>
  </w:style>
  <w:style w:type="character" w:styleId="EndnoteReference">
    <w:name w:val="endnote reference"/>
    <w:basedOn w:val="DefaultParagraphFont"/>
    <w:uiPriority w:val="99"/>
    <w:unhideWhenUsed/>
    <w:qFormat/>
    <w:rsid w:val="00184F80"/>
    <w:rPr>
      <w:rFonts w:ascii="Times New Roman" w:hAnsi="Times New Roman"/>
      <w:b/>
      <w:sz w:val="28"/>
      <w:vertAlign w:val="superscript"/>
    </w:rPr>
  </w:style>
  <w:style w:type="table" w:customStyle="1" w:styleId="TableGrid1">
    <w:name w:val="Table Grid1"/>
    <w:basedOn w:val="TableNormal"/>
    <w:next w:val="TableGrid"/>
    <w:uiPriority w:val="59"/>
    <w:rsid w:val="006C5ABE"/>
    <w:pPr>
      <w:spacing w:before="120"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296">
      <w:bodyDiv w:val="1"/>
      <w:marLeft w:val="0"/>
      <w:marRight w:val="0"/>
      <w:marTop w:val="0"/>
      <w:marBottom w:val="0"/>
      <w:divBdr>
        <w:top w:val="none" w:sz="0" w:space="0" w:color="auto"/>
        <w:left w:val="none" w:sz="0" w:space="0" w:color="auto"/>
        <w:bottom w:val="none" w:sz="0" w:space="0" w:color="auto"/>
        <w:right w:val="none" w:sz="0" w:space="0" w:color="auto"/>
      </w:divBdr>
      <w:divsChild>
        <w:div w:id="1941377911">
          <w:marLeft w:val="0"/>
          <w:marRight w:val="0"/>
          <w:marTop w:val="0"/>
          <w:marBottom w:val="0"/>
          <w:divBdr>
            <w:top w:val="none" w:sz="0" w:space="0" w:color="auto"/>
            <w:left w:val="none" w:sz="0" w:space="0" w:color="auto"/>
            <w:bottom w:val="none" w:sz="0" w:space="0" w:color="auto"/>
            <w:right w:val="none" w:sz="0" w:space="0" w:color="auto"/>
          </w:divBdr>
        </w:div>
        <w:div w:id="992834327">
          <w:marLeft w:val="0"/>
          <w:marRight w:val="0"/>
          <w:marTop w:val="0"/>
          <w:marBottom w:val="0"/>
          <w:divBdr>
            <w:top w:val="none" w:sz="0" w:space="0" w:color="auto"/>
            <w:left w:val="none" w:sz="0" w:space="0" w:color="auto"/>
            <w:bottom w:val="none" w:sz="0" w:space="0" w:color="auto"/>
            <w:right w:val="none" w:sz="0" w:space="0" w:color="auto"/>
          </w:divBdr>
        </w:div>
        <w:div w:id="1563059861">
          <w:marLeft w:val="0"/>
          <w:marRight w:val="0"/>
          <w:marTop w:val="0"/>
          <w:marBottom w:val="0"/>
          <w:divBdr>
            <w:top w:val="none" w:sz="0" w:space="0" w:color="auto"/>
            <w:left w:val="none" w:sz="0" w:space="0" w:color="auto"/>
            <w:bottom w:val="none" w:sz="0" w:space="0" w:color="auto"/>
            <w:right w:val="none" w:sz="0" w:space="0" w:color="auto"/>
          </w:divBdr>
        </w:div>
        <w:div w:id="78065741">
          <w:marLeft w:val="0"/>
          <w:marRight w:val="0"/>
          <w:marTop w:val="0"/>
          <w:marBottom w:val="0"/>
          <w:divBdr>
            <w:top w:val="none" w:sz="0" w:space="0" w:color="auto"/>
            <w:left w:val="none" w:sz="0" w:space="0" w:color="auto"/>
            <w:bottom w:val="none" w:sz="0" w:space="0" w:color="auto"/>
            <w:right w:val="none" w:sz="0" w:space="0" w:color="auto"/>
          </w:divBdr>
        </w:div>
      </w:divsChild>
    </w:div>
    <w:div w:id="139075075">
      <w:bodyDiv w:val="1"/>
      <w:marLeft w:val="0"/>
      <w:marRight w:val="0"/>
      <w:marTop w:val="0"/>
      <w:marBottom w:val="0"/>
      <w:divBdr>
        <w:top w:val="none" w:sz="0" w:space="0" w:color="auto"/>
        <w:left w:val="none" w:sz="0" w:space="0" w:color="auto"/>
        <w:bottom w:val="none" w:sz="0" w:space="0" w:color="auto"/>
        <w:right w:val="none" w:sz="0" w:space="0" w:color="auto"/>
      </w:divBdr>
      <w:divsChild>
        <w:div w:id="734083759">
          <w:marLeft w:val="0"/>
          <w:marRight w:val="0"/>
          <w:marTop w:val="0"/>
          <w:marBottom w:val="0"/>
          <w:divBdr>
            <w:top w:val="none" w:sz="0" w:space="0" w:color="auto"/>
            <w:left w:val="none" w:sz="0" w:space="0" w:color="auto"/>
            <w:bottom w:val="none" w:sz="0" w:space="0" w:color="auto"/>
            <w:right w:val="none" w:sz="0" w:space="0" w:color="auto"/>
          </w:divBdr>
          <w:divsChild>
            <w:div w:id="1197230259">
              <w:marLeft w:val="0"/>
              <w:marRight w:val="0"/>
              <w:marTop w:val="0"/>
              <w:marBottom w:val="0"/>
              <w:divBdr>
                <w:top w:val="none" w:sz="0" w:space="0" w:color="auto"/>
                <w:left w:val="none" w:sz="0" w:space="0" w:color="auto"/>
                <w:bottom w:val="none" w:sz="0" w:space="0" w:color="auto"/>
                <w:right w:val="none" w:sz="0" w:space="0" w:color="auto"/>
              </w:divBdr>
            </w:div>
          </w:divsChild>
        </w:div>
        <w:div w:id="573665421">
          <w:marLeft w:val="0"/>
          <w:marRight w:val="0"/>
          <w:marTop w:val="0"/>
          <w:marBottom w:val="0"/>
          <w:divBdr>
            <w:top w:val="none" w:sz="0" w:space="0" w:color="auto"/>
            <w:left w:val="none" w:sz="0" w:space="0" w:color="auto"/>
            <w:bottom w:val="none" w:sz="0" w:space="0" w:color="auto"/>
            <w:right w:val="none" w:sz="0" w:space="0" w:color="auto"/>
          </w:divBdr>
          <w:divsChild>
            <w:div w:id="14911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44843">
      <w:bodyDiv w:val="1"/>
      <w:marLeft w:val="0"/>
      <w:marRight w:val="0"/>
      <w:marTop w:val="0"/>
      <w:marBottom w:val="0"/>
      <w:divBdr>
        <w:top w:val="none" w:sz="0" w:space="0" w:color="auto"/>
        <w:left w:val="none" w:sz="0" w:space="0" w:color="auto"/>
        <w:bottom w:val="none" w:sz="0" w:space="0" w:color="auto"/>
        <w:right w:val="none" w:sz="0" w:space="0" w:color="auto"/>
      </w:divBdr>
    </w:div>
    <w:div w:id="509952896">
      <w:bodyDiv w:val="1"/>
      <w:marLeft w:val="0"/>
      <w:marRight w:val="0"/>
      <w:marTop w:val="0"/>
      <w:marBottom w:val="0"/>
      <w:divBdr>
        <w:top w:val="none" w:sz="0" w:space="0" w:color="auto"/>
        <w:left w:val="none" w:sz="0" w:space="0" w:color="auto"/>
        <w:bottom w:val="none" w:sz="0" w:space="0" w:color="auto"/>
        <w:right w:val="none" w:sz="0" w:space="0" w:color="auto"/>
      </w:divBdr>
    </w:div>
    <w:div w:id="699086249">
      <w:bodyDiv w:val="1"/>
      <w:marLeft w:val="0"/>
      <w:marRight w:val="0"/>
      <w:marTop w:val="0"/>
      <w:marBottom w:val="0"/>
      <w:divBdr>
        <w:top w:val="none" w:sz="0" w:space="0" w:color="auto"/>
        <w:left w:val="none" w:sz="0" w:space="0" w:color="auto"/>
        <w:bottom w:val="none" w:sz="0" w:space="0" w:color="auto"/>
        <w:right w:val="none" w:sz="0" w:space="0" w:color="auto"/>
      </w:divBdr>
    </w:div>
    <w:div w:id="883371202">
      <w:bodyDiv w:val="1"/>
      <w:marLeft w:val="0"/>
      <w:marRight w:val="0"/>
      <w:marTop w:val="0"/>
      <w:marBottom w:val="0"/>
      <w:divBdr>
        <w:top w:val="none" w:sz="0" w:space="0" w:color="auto"/>
        <w:left w:val="none" w:sz="0" w:space="0" w:color="auto"/>
        <w:bottom w:val="none" w:sz="0" w:space="0" w:color="auto"/>
        <w:right w:val="none" w:sz="0" w:space="0" w:color="auto"/>
      </w:divBdr>
      <w:divsChild>
        <w:div w:id="218832434">
          <w:marLeft w:val="0"/>
          <w:marRight w:val="0"/>
          <w:marTop w:val="0"/>
          <w:marBottom w:val="0"/>
          <w:divBdr>
            <w:top w:val="none" w:sz="0" w:space="0" w:color="auto"/>
            <w:left w:val="none" w:sz="0" w:space="0" w:color="auto"/>
            <w:bottom w:val="none" w:sz="0" w:space="0" w:color="auto"/>
            <w:right w:val="none" w:sz="0" w:space="0" w:color="auto"/>
          </w:divBdr>
        </w:div>
        <w:div w:id="2087721722">
          <w:marLeft w:val="0"/>
          <w:marRight w:val="0"/>
          <w:marTop w:val="0"/>
          <w:marBottom w:val="0"/>
          <w:divBdr>
            <w:top w:val="none" w:sz="0" w:space="0" w:color="auto"/>
            <w:left w:val="none" w:sz="0" w:space="0" w:color="auto"/>
            <w:bottom w:val="none" w:sz="0" w:space="0" w:color="auto"/>
            <w:right w:val="none" w:sz="0" w:space="0" w:color="auto"/>
          </w:divBdr>
        </w:div>
        <w:div w:id="1713770720">
          <w:marLeft w:val="0"/>
          <w:marRight w:val="0"/>
          <w:marTop w:val="0"/>
          <w:marBottom w:val="0"/>
          <w:divBdr>
            <w:top w:val="none" w:sz="0" w:space="0" w:color="auto"/>
            <w:left w:val="none" w:sz="0" w:space="0" w:color="auto"/>
            <w:bottom w:val="none" w:sz="0" w:space="0" w:color="auto"/>
            <w:right w:val="none" w:sz="0" w:space="0" w:color="auto"/>
          </w:divBdr>
        </w:div>
        <w:div w:id="1624657309">
          <w:marLeft w:val="0"/>
          <w:marRight w:val="0"/>
          <w:marTop w:val="0"/>
          <w:marBottom w:val="0"/>
          <w:divBdr>
            <w:top w:val="none" w:sz="0" w:space="0" w:color="auto"/>
            <w:left w:val="none" w:sz="0" w:space="0" w:color="auto"/>
            <w:bottom w:val="none" w:sz="0" w:space="0" w:color="auto"/>
            <w:right w:val="none" w:sz="0" w:space="0" w:color="auto"/>
          </w:divBdr>
        </w:div>
        <w:div w:id="551887292">
          <w:marLeft w:val="0"/>
          <w:marRight w:val="0"/>
          <w:marTop w:val="0"/>
          <w:marBottom w:val="0"/>
          <w:divBdr>
            <w:top w:val="none" w:sz="0" w:space="0" w:color="auto"/>
            <w:left w:val="none" w:sz="0" w:space="0" w:color="auto"/>
            <w:bottom w:val="none" w:sz="0" w:space="0" w:color="auto"/>
            <w:right w:val="none" w:sz="0" w:space="0" w:color="auto"/>
          </w:divBdr>
        </w:div>
      </w:divsChild>
    </w:div>
    <w:div w:id="888687205">
      <w:bodyDiv w:val="1"/>
      <w:marLeft w:val="0"/>
      <w:marRight w:val="0"/>
      <w:marTop w:val="0"/>
      <w:marBottom w:val="0"/>
      <w:divBdr>
        <w:top w:val="none" w:sz="0" w:space="0" w:color="auto"/>
        <w:left w:val="none" w:sz="0" w:space="0" w:color="auto"/>
        <w:bottom w:val="none" w:sz="0" w:space="0" w:color="auto"/>
        <w:right w:val="none" w:sz="0" w:space="0" w:color="auto"/>
      </w:divBdr>
      <w:divsChild>
        <w:div w:id="751391585">
          <w:marLeft w:val="0"/>
          <w:marRight w:val="0"/>
          <w:marTop w:val="0"/>
          <w:marBottom w:val="0"/>
          <w:divBdr>
            <w:top w:val="none" w:sz="0" w:space="0" w:color="auto"/>
            <w:left w:val="none" w:sz="0" w:space="0" w:color="auto"/>
            <w:bottom w:val="none" w:sz="0" w:space="0" w:color="auto"/>
            <w:right w:val="none" w:sz="0" w:space="0" w:color="auto"/>
          </w:divBdr>
          <w:divsChild>
            <w:div w:id="410544780">
              <w:marLeft w:val="0"/>
              <w:marRight w:val="0"/>
              <w:marTop w:val="0"/>
              <w:marBottom w:val="0"/>
              <w:divBdr>
                <w:top w:val="none" w:sz="0" w:space="0" w:color="auto"/>
                <w:left w:val="none" w:sz="0" w:space="0" w:color="auto"/>
                <w:bottom w:val="none" w:sz="0" w:space="0" w:color="auto"/>
                <w:right w:val="none" w:sz="0" w:space="0" w:color="auto"/>
              </w:divBdr>
            </w:div>
          </w:divsChild>
        </w:div>
        <w:div w:id="1920090535">
          <w:marLeft w:val="0"/>
          <w:marRight w:val="0"/>
          <w:marTop w:val="0"/>
          <w:marBottom w:val="0"/>
          <w:divBdr>
            <w:top w:val="none" w:sz="0" w:space="0" w:color="auto"/>
            <w:left w:val="none" w:sz="0" w:space="0" w:color="auto"/>
            <w:bottom w:val="none" w:sz="0" w:space="0" w:color="auto"/>
            <w:right w:val="none" w:sz="0" w:space="0" w:color="auto"/>
          </w:divBdr>
          <w:divsChild>
            <w:div w:id="16333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0B692-EA5F-458F-BBC0-9AED19206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2876</TotalTime>
  <Pages>17</Pages>
  <Words>2548</Words>
  <Characters>14528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 Tain</dc:creator>
  <cp:keywords/>
  <dc:description/>
  <cp:lastModifiedBy>Wade Padgett</cp:lastModifiedBy>
  <cp:revision>3</cp:revision>
  <cp:lastPrinted>2021-07-02T17:55:00Z</cp:lastPrinted>
  <dcterms:created xsi:type="dcterms:W3CDTF">2022-06-15T21:35:00Z</dcterms:created>
  <dcterms:modified xsi:type="dcterms:W3CDTF">2022-06-17T21:39:00Z</dcterms:modified>
</cp:coreProperties>
</file>