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7B9AD" w14:textId="5D9C3BE5" w:rsidR="00827E5D" w:rsidRPr="00F63969" w:rsidRDefault="00827E5D" w:rsidP="00F63969">
      <w:pPr>
        <w:spacing w:line="480" w:lineRule="auto"/>
        <w:jc w:val="center"/>
        <w:rPr>
          <w:rFonts w:ascii="Times New Roman" w:hAnsi="Times New Roman" w:cs="Times New Roman"/>
          <w:b/>
          <w:bCs/>
          <w:sz w:val="28"/>
          <w:szCs w:val="28"/>
        </w:rPr>
      </w:pPr>
      <w:r w:rsidRPr="00F63969">
        <w:rPr>
          <w:rFonts w:ascii="Times New Roman" w:hAnsi="Times New Roman" w:cs="Times New Roman"/>
          <w:b/>
          <w:bCs/>
          <w:sz w:val="28"/>
          <w:szCs w:val="28"/>
        </w:rPr>
        <w:t>“</w:t>
      </w:r>
      <w:r w:rsidR="00F63969">
        <w:rPr>
          <w:rFonts w:ascii="Times New Roman" w:hAnsi="Times New Roman" w:cs="Times New Roman"/>
          <w:b/>
          <w:bCs/>
          <w:sz w:val="28"/>
          <w:szCs w:val="28"/>
        </w:rPr>
        <w:t>Unit of Prosecution</w:t>
      </w:r>
      <w:r w:rsidRPr="00F63969">
        <w:rPr>
          <w:rFonts w:ascii="Times New Roman" w:hAnsi="Times New Roman" w:cs="Times New Roman"/>
          <w:b/>
          <w:bCs/>
          <w:sz w:val="28"/>
          <w:szCs w:val="28"/>
        </w:rPr>
        <w:t>” Podcast Outline</w:t>
      </w:r>
    </w:p>
    <w:p w14:paraId="4B3BF31A" w14:textId="77777777" w:rsidR="00F53F9A" w:rsidRPr="00F63969" w:rsidRDefault="00F53F9A" w:rsidP="00F63969">
      <w:pPr>
        <w:spacing w:after="0" w:line="480" w:lineRule="auto"/>
        <w:jc w:val="center"/>
        <w:rPr>
          <w:rFonts w:ascii="Times New Roman" w:hAnsi="Times New Roman" w:cs="Times New Roman"/>
          <w:b/>
          <w:bCs/>
          <w:sz w:val="28"/>
          <w:szCs w:val="28"/>
        </w:rPr>
      </w:pPr>
    </w:p>
    <w:p w14:paraId="030C24CE" w14:textId="0B00C833" w:rsidR="00827E5D" w:rsidRPr="00F63969" w:rsidRDefault="00827E5D" w:rsidP="00F63969">
      <w:pPr>
        <w:spacing w:after="0" w:line="480" w:lineRule="auto"/>
        <w:rPr>
          <w:rFonts w:ascii="Times New Roman" w:hAnsi="Times New Roman" w:cs="Times New Roman"/>
          <w:b/>
          <w:bCs/>
          <w:sz w:val="28"/>
          <w:szCs w:val="28"/>
        </w:rPr>
      </w:pPr>
      <w:r w:rsidRPr="00F63969">
        <w:rPr>
          <w:rFonts w:ascii="Times New Roman" w:hAnsi="Times New Roman" w:cs="Times New Roman"/>
          <w:b/>
          <w:bCs/>
          <w:sz w:val="28"/>
          <w:szCs w:val="28"/>
        </w:rPr>
        <w:t>Wade:  Hello folks and welcome to another episode of the Good Judge-</w:t>
      </w:r>
      <w:proofErr w:type="spellStart"/>
      <w:r w:rsidRPr="00F63969">
        <w:rPr>
          <w:rFonts w:ascii="Times New Roman" w:hAnsi="Times New Roman" w:cs="Times New Roman"/>
          <w:b/>
          <w:bCs/>
          <w:sz w:val="28"/>
          <w:szCs w:val="28"/>
        </w:rPr>
        <w:t>ment</w:t>
      </w:r>
      <w:proofErr w:type="spellEnd"/>
      <w:r w:rsidRPr="00F63969">
        <w:rPr>
          <w:rFonts w:ascii="Times New Roman" w:hAnsi="Times New Roman" w:cs="Times New Roman"/>
          <w:b/>
          <w:bCs/>
          <w:sz w:val="28"/>
          <w:szCs w:val="28"/>
        </w:rPr>
        <w:t xml:space="preserve"> Podcast.  I’m your host, Wade Padgett.</w:t>
      </w:r>
    </w:p>
    <w:p w14:paraId="6915F1E2" w14:textId="0F4B1C32" w:rsidR="00827E5D" w:rsidRPr="00F63969" w:rsidRDefault="00827E5D" w:rsidP="00F63969">
      <w:pPr>
        <w:spacing w:after="0" w:line="480" w:lineRule="auto"/>
        <w:rPr>
          <w:rFonts w:ascii="Times New Roman" w:hAnsi="Times New Roman" w:cs="Times New Roman"/>
          <w:sz w:val="28"/>
          <w:szCs w:val="28"/>
        </w:rPr>
      </w:pPr>
      <w:r w:rsidRPr="00F63969">
        <w:rPr>
          <w:rFonts w:ascii="Times New Roman" w:hAnsi="Times New Roman" w:cs="Times New Roman"/>
          <w:sz w:val="28"/>
          <w:szCs w:val="28"/>
        </w:rPr>
        <w:t>Tain:  And I’m continuing to be Tain Kell.  For many of you who are our loyalist listene</w:t>
      </w:r>
      <w:r w:rsidR="00F63969" w:rsidRPr="00F63969">
        <w:rPr>
          <w:rFonts w:ascii="Times New Roman" w:hAnsi="Times New Roman" w:cs="Times New Roman"/>
          <w:sz w:val="28"/>
          <w:szCs w:val="28"/>
        </w:rPr>
        <w:t>rs, you know that we have spent several episodes talking about the incredibly exciting topic of MERGER.</w:t>
      </w:r>
    </w:p>
    <w:p w14:paraId="7A615F1C" w14:textId="55CBBA63" w:rsidR="00827E5D" w:rsidRPr="00F63969" w:rsidRDefault="00827E5D" w:rsidP="00F63969">
      <w:pPr>
        <w:spacing w:after="0" w:line="480" w:lineRule="auto"/>
        <w:rPr>
          <w:rFonts w:ascii="Times New Roman" w:hAnsi="Times New Roman" w:cs="Times New Roman"/>
          <w:b/>
          <w:bCs/>
          <w:sz w:val="28"/>
          <w:szCs w:val="28"/>
        </w:rPr>
      </w:pPr>
      <w:r w:rsidRPr="00F63969">
        <w:rPr>
          <w:rFonts w:ascii="Times New Roman" w:hAnsi="Times New Roman" w:cs="Times New Roman"/>
          <w:b/>
          <w:bCs/>
          <w:sz w:val="28"/>
          <w:szCs w:val="28"/>
        </w:rPr>
        <w:t xml:space="preserve">Wade: </w:t>
      </w:r>
      <w:r w:rsidR="00F63969" w:rsidRPr="00F63969">
        <w:rPr>
          <w:rFonts w:ascii="Times New Roman" w:hAnsi="Times New Roman" w:cs="Times New Roman"/>
          <w:b/>
          <w:bCs/>
          <w:sz w:val="28"/>
          <w:szCs w:val="28"/>
        </w:rPr>
        <w:t xml:space="preserve">When we were involved with NJO at the Superior Courts, we did a number of presentations on the topic of merger – </w:t>
      </w:r>
      <w:proofErr w:type="spellStart"/>
      <w:r w:rsidR="00F63969" w:rsidRPr="00F63969">
        <w:rPr>
          <w:rFonts w:ascii="Times New Roman" w:hAnsi="Times New Roman" w:cs="Times New Roman"/>
          <w:b/>
          <w:bCs/>
          <w:sz w:val="28"/>
          <w:szCs w:val="28"/>
        </w:rPr>
        <w:t>kinda</w:t>
      </w:r>
      <w:proofErr w:type="spellEnd"/>
      <w:r w:rsidR="00F63969" w:rsidRPr="00F63969">
        <w:rPr>
          <w:rFonts w:ascii="Times New Roman" w:hAnsi="Times New Roman" w:cs="Times New Roman"/>
          <w:b/>
          <w:bCs/>
          <w:sz w:val="28"/>
          <w:szCs w:val="28"/>
        </w:rPr>
        <w:t>’ got tired of talking about it to be perfectly honest</w:t>
      </w:r>
    </w:p>
    <w:p w14:paraId="2CBDECA6" w14:textId="71F502F1" w:rsidR="00827E5D" w:rsidRPr="00F63969" w:rsidRDefault="00827E5D" w:rsidP="00F63969">
      <w:pPr>
        <w:spacing w:after="0" w:line="480" w:lineRule="auto"/>
        <w:rPr>
          <w:rFonts w:ascii="Times New Roman" w:hAnsi="Times New Roman" w:cs="Times New Roman"/>
          <w:sz w:val="28"/>
          <w:szCs w:val="28"/>
        </w:rPr>
      </w:pPr>
      <w:r w:rsidRPr="00F63969">
        <w:rPr>
          <w:rFonts w:ascii="Times New Roman" w:hAnsi="Times New Roman" w:cs="Times New Roman"/>
          <w:sz w:val="28"/>
          <w:szCs w:val="28"/>
        </w:rPr>
        <w:t xml:space="preserve">Tain:  </w:t>
      </w:r>
      <w:r w:rsidR="00F63969" w:rsidRPr="00F63969">
        <w:rPr>
          <w:rFonts w:ascii="Times New Roman" w:hAnsi="Times New Roman" w:cs="Times New Roman"/>
          <w:sz w:val="28"/>
          <w:szCs w:val="28"/>
        </w:rPr>
        <w:t>How true – but today we are going to talk a little about a subset of merger that is known as Unit of Prosecution – let’s jump in</w:t>
      </w:r>
    </w:p>
    <w:p w14:paraId="444AC6A1" w14:textId="41DAED7A" w:rsidR="00F63969" w:rsidRPr="00F63969" w:rsidRDefault="00F63969" w:rsidP="00F63969">
      <w:pPr>
        <w:spacing w:after="0" w:line="480" w:lineRule="auto"/>
        <w:rPr>
          <w:rFonts w:ascii="Times New Roman" w:hAnsi="Times New Roman" w:cs="Times New Roman"/>
          <w:sz w:val="28"/>
          <w:szCs w:val="28"/>
        </w:rPr>
      </w:pPr>
      <w:r w:rsidRPr="00F63969">
        <w:rPr>
          <w:rFonts w:ascii="Times New Roman" w:hAnsi="Times New Roman" w:cs="Times New Roman"/>
          <w:sz w:val="28"/>
          <w:szCs w:val="28"/>
        </w:rPr>
        <w:pict w14:anchorId="06D542CE">
          <v:rect id="_x0000_i1025" style="width:0;height:1.5pt" o:hralign="center" o:hrstd="t" o:hr="t" fillcolor="#a0a0a0" stroked="f"/>
        </w:pict>
      </w:r>
    </w:p>
    <w:p w14:paraId="5EAEF278" w14:textId="4759889D" w:rsidR="00F63969" w:rsidRDefault="00F63969" w:rsidP="00F63969">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Refresher for our loyal listener - </w:t>
      </w:r>
    </w:p>
    <w:p w14:paraId="0517DFFB" w14:textId="1AD7AA5A" w:rsidR="00F63969" w:rsidRPr="00F63969" w:rsidRDefault="00F63969" w:rsidP="00F63969">
      <w:pPr>
        <w:spacing w:after="0" w:line="480" w:lineRule="auto"/>
        <w:rPr>
          <w:rFonts w:ascii="Times New Roman" w:hAnsi="Times New Roman" w:cs="Times New Roman"/>
          <w:sz w:val="28"/>
          <w:szCs w:val="28"/>
        </w:rPr>
      </w:pPr>
      <w:r w:rsidRPr="00F63969">
        <w:rPr>
          <w:rFonts w:ascii="Times New Roman" w:hAnsi="Times New Roman" w:cs="Times New Roman"/>
          <w:sz w:val="28"/>
          <w:szCs w:val="28"/>
        </w:rPr>
        <w:t>You may recall that we discussed that Merger is a concept based upon the 5</w:t>
      </w:r>
      <w:r w:rsidRPr="00F63969">
        <w:rPr>
          <w:rFonts w:ascii="Times New Roman" w:hAnsi="Times New Roman" w:cs="Times New Roman"/>
          <w:sz w:val="28"/>
          <w:szCs w:val="28"/>
          <w:vertAlign w:val="superscript"/>
        </w:rPr>
        <w:t>th</w:t>
      </w:r>
      <w:r w:rsidRPr="00F63969">
        <w:rPr>
          <w:rFonts w:ascii="Times New Roman" w:hAnsi="Times New Roman" w:cs="Times New Roman"/>
          <w:sz w:val="28"/>
          <w:szCs w:val="28"/>
        </w:rPr>
        <w:t xml:space="preserve"> Amend.</w:t>
      </w:r>
      <w:r w:rsidRPr="00F63969">
        <w:rPr>
          <w:rStyle w:val="EndnoteReference"/>
          <w:rFonts w:ascii="Times New Roman" w:hAnsi="Times New Roman" w:cs="Times New Roman"/>
          <w:sz w:val="28"/>
          <w:szCs w:val="28"/>
        </w:rPr>
        <w:endnoteReference w:id="1"/>
      </w:r>
    </w:p>
    <w:p w14:paraId="7B36EBC3" w14:textId="77777777" w:rsidR="00F63969" w:rsidRPr="00F63969" w:rsidRDefault="00F63969" w:rsidP="00F63969">
      <w:pPr>
        <w:spacing w:after="0" w:line="480" w:lineRule="auto"/>
        <w:rPr>
          <w:rFonts w:ascii="Times New Roman" w:hAnsi="Times New Roman" w:cs="Times New Roman"/>
          <w:sz w:val="28"/>
          <w:szCs w:val="28"/>
        </w:rPr>
      </w:pPr>
    </w:p>
    <w:p w14:paraId="7C6004A7" w14:textId="67D86126" w:rsidR="00F63969" w:rsidRDefault="00F63969" w:rsidP="00F63969">
      <w:pPr>
        <w:spacing w:after="0" w:line="480" w:lineRule="auto"/>
        <w:rPr>
          <w:rFonts w:ascii="Times New Roman" w:hAnsi="Times New Roman" w:cs="Times New Roman"/>
          <w:sz w:val="28"/>
          <w:szCs w:val="28"/>
        </w:rPr>
      </w:pPr>
      <w:r w:rsidRPr="00F63969">
        <w:rPr>
          <w:rFonts w:ascii="Times New Roman" w:hAnsi="Times New Roman" w:cs="Times New Roman"/>
          <w:sz w:val="28"/>
          <w:szCs w:val="28"/>
        </w:rPr>
        <w:lastRenderedPageBreak/>
        <w:t>We are all familiar with the term “double jeopardy” meaning that a defendant cannot be tried twice for the same offense</w:t>
      </w:r>
    </w:p>
    <w:p w14:paraId="723F833A" w14:textId="78F5F18D" w:rsidR="00F63969" w:rsidRDefault="00F63969" w:rsidP="00F63969">
      <w:pPr>
        <w:spacing w:after="0" w:line="480" w:lineRule="auto"/>
        <w:rPr>
          <w:rFonts w:ascii="Times New Roman" w:hAnsi="Times New Roman" w:cs="Times New Roman"/>
          <w:sz w:val="28"/>
          <w:szCs w:val="28"/>
        </w:rPr>
      </w:pPr>
      <w:r>
        <w:rPr>
          <w:rFonts w:ascii="Times New Roman" w:hAnsi="Times New Roman" w:cs="Times New Roman"/>
          <w:sz w:val="28"/>
          <w:szCs w:val="28"/>
        </w:rPr>
        <w:tab/>
        <w:t xml:space="preserve">That is </w:t>
      </w:r>
      <w:r>
        <w:rPr>
          <w:rFonts w:ascii="Times New Roman" w:hAnsi="Times New Roman" w:cs="Times New Roman"/>
          <w:b/>
          <w:bCs/>
          <w:i/>
          <w:iCs/>
          <w:sz w:val="28"/>
          <w:szCs w:val="28"/>
        </w:rPr>
        <w:t>procedural</w:t>
      </w:r>
      <w:r>
        <w:rPr>
          <w:rFonts w:ascii="Times New Roman" w:hAnsi="Times New Roman" w:cs="Times New Roman"/>
          <w:sz w:val="28"/>
          <w:szCs w:val="28"/>
        </w:rPr>
        <w:t xml:space="preserve"> double jeopardy</w:t>
      </w:r>
    </w:p>
    <w:p w14:paraId="63537333" w14:textId="26A02AAC" w:rsidR="00F63969" w:rsidRPr="00F63969" w:rsidRDefault="00F63969" w:rsidP="00F63969">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But there is also </w:t>
      </w:r>
      <w:r>
        <w:rPr>
          <w:rFonts w:ascii="Times New Roman" w:hAnsi="Times New Roman" w:cs="Times New Roman"/>
          <w:b/>
          <w:bCs/>
          <w:i/>
          <w:iCs/>
          <w:sz w:val="28"/>
          <w:szCs w:val="28"/>
        </w:rPr>
        <w:t>substantive</w:t>
      </w:r>
      <w:r>
        <w:rPr>
          <w:rFonts w:ascii="Times New Roman" w:hAnsi="Times New Roman" w:cs="Times New Roman"/>
          <w:sz w:val="28"/>
          <w:szCs w:val="28"/>
        </w:rPr>
        <w:t xml:space="preserve"> double jeopardy – we call that Merger as a shorthand moniker</w:t>
      </w:r>
    </w:p>
    <w:p w14:paraId="7AF6E8E5" w14:textId="77777777" w:rsidR="00F63969" w:rsidRDefault="00F63969" w:rsidP="00F63969">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Merger says that a defendant cannot be </w:t>
      </w:r>
      <w:r w:rsidRPr="00592C86">
        <w:rPr>
          <w:rFonts w:ascii="Times New Roman" w:hAnsi="Times New Roman" w:cs="Times New Roman"/>
          <w:b/>
          <w:bCs/>
          <w:i/>
          <w:iCs/>
          <w:sz w:val="28"/>
          <w:szCs w:val="28"/>
        </w:rPr>
        <w:t>convicted</w:t>
      </w:r>
      <w:r>
        <w:rPr>
          <w:rFonts w:ascii="Times New Roman" w:hAnsi="Times New Roman" w:cs="Times New Roman"/>
          <w:sz w:val="28"/>
          <w:szCs w:val="28"/>
        </w:rPr>
        <w:t xml:space="preserve"> of more than one crime for the same act</w:t>
      </w:r>
    </w:p>
    <w:p w14:paraId="742ED62A" w14:textId="266BCE2D" w:rsidR="00F63969" w:rsidRDefault="00F63969" w:rsidP="00B81E1D">
      <w:pPr>
        <w:spacing w:after="0" w:line="480" w:lineRule="auto"/>
        <w:ind w:left="720"/>
        <w:rPr>
          <w:rFonts w:ascii="Times New Roman" w:hAnsi="Times New Roman" w:cs="Times New Roman"/>
          <w:sz w:val="28"/>
          <w:szCs w:val="28"/>
        </w:rPr>
      </w:pPr>
      <w:r>
        <w:rPr>
          <w:rFonts w:ascii="Times New Roman" w:hAnsi="Times New Roman" w:cs="Times New Roman"/>
          <w:sz w:val="28"/>
          <w:szCs w:val="28"/>
        </w:rPr>
        <w:t xml:space="preserve">We will not get into all of the </w:t>
      </w:r>
      <w:r w:rsidR="00B81E1D">
        <w:rPr>
          <w:rFonts w:ascii="Times New Roman" w:hAnsi="Times New Roman" w:cs="Times New Roman"/>
          <w:sz w:val="28"/>
          <w:szCs w:val="28"/>
        </w:rPr>
        <w:t>details of merger today – things like the  “required evidence” test – those have been covered extensively in prior episodes (Wade’s 6 Rules of Merger)</w:t>
      </w:r>
      <w:r w:rsidR="003F13B5">
        <w:rPr>
          <w:rStyle w:val="EndnoteReference"/>
          <w:rFonts w:ascii="Times New Roman" w:hAnsi="Times New Roman" w:cs="Times New Roman"/>
          <w:sz w:val="28"/>
          <w:szCs w:val="28"/>
        </w:rPr>
        <w:endnoteReference w:id="2"/>
      </w:r>
    </w:p>
    <w:p w14:paraId="7F22FADC" w14:textId="77777777" w:rsidR="00B81E1D" w:rsidRDefault="00B81E1D" w:rsidP="00B81E1D">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But you now understand the context – we are trying to determine what a defendant can be </w:t>
      </w:r>
      <w:r>
        <w:rPr>
          <w:rFonts w:ascii="Times New Roman" w:hAnsi="Times New Roman" w:cs="Times New Roman"/>
          <w:b/>
          <w:bCs/>
          <w:i/>
          <w:iCs/>
          <w:sz w:val="28"/>
          <w:szCs w:val="28"/>
        </w:rPr>
        <w:t>convicted</w:t>
      </w:r>
      <w:r>
        <w:rPr>
          <w:rFonts w:ascii="Times New Roman" w:hAnsi="Times New Roman" w:cs="Times New Roman"/>
          <w:sz w:val="28"/>
          <w:szCs w:val="28"/>
        </w:rPr>
        <w:t xml:space="preserve"> of  (which has no bearing on what a defendant can be </w:t>
      </w:r>
      <w:r>
        <w:rPr>
          <w:rFonts w:ascii="Times New Roman" w:hAnsi="Times New Roman" w:cs="Times New Roman"/>
          <w:b/>
          <w:bCs/>
          <w:i/>
          <w:iCs/>
          <w:sz w:val="28"/>
          <w:szCs w:val="28"/>
        </w:rPr>
        <w:t>charged with</w:t>
      </w:r>
      <w:r>
        <w:rPr>
          <w:rFonts w:ascii="Times New Roman" w:hAnsi="Times New Roman" w:cs="Times New Roman"/>
          <w:sz w:val="28"/>
          <w:szCs w:val="28"/>
        </w:rPr>
        <w:t xml:space="preserve"> or </w:t>
      </w:r>
      <w:r>
        <w:rPr>
          <w:rFonts w:ascii="Times New Roman" w:hAnsi="Times New Roman" w:cs="Times New Roman"/>
          <w:b/>
          <w:bCs/>
          <w:i/>
          <w:iCs/>
          <w:sz w:val="28"/>
          <w:szCs w:val="28"/>
        </w:rPr>
        <w:t>tried for</w:t>
      </w:r>
      <w:r>
        <w:rPr>
          <w:rFonts w:ascii="Times New Roman" w:hAnsi="Times New Roman" w:cs="Times New Roman"/>
          <w:sz w:val="28"/>
          <w:szCs w:val="28"/>
        </w:rPr>
        <w:t>)</w:t>
      </w:r>
    </w:p>
    <w:p w14:paraId="0446E9BC" w14:textId="458FE914" w:rsidR="00592C86" w:rsidRDefault="00592C86" w:rsidP="00592C86">
      <w:pPr>
        <w:spacing w:after="0" w:line="480" w:lineRule="auto"/>
        <w:ind w:left="720"/>
        <w:rPr>
          <w:rFonts w:ascii="Times New Roman" w:hAnsi="Times New Roman" w:cs="Times New Roman"/>
          <w:sz w:val="28"/>
          <w:szCs w:val="28"/>
        </w:rPr>
      </w:pPr>
      <w:r>
        <w:rPr>
          <w:rFonts w:ascii="Times New Roman" w:hAnsi="Times New Roman" w:cs="Times New Roman"/>
          <w:sz w:val="28"/>
          <w:szCs w:val="28"/>
        </w:rPr>
        <w:t xml:space="preserve">You will notice that in our outline, we are careful to both </w:t>
      </w:r>
      <w:r w:rsidRPr="00592C86">
        <w:rPr>
          <w:rFonts w:ascii="Times New Roman" w:hAnsi="Times New Roman" w:cs="Times New Roman"/>
          <w:i/>
          <w:iCs/>
          <w:sz w:val="28"/>
          <w:szCs w:val="28"/>
        </w:rPr>
        <w:t>italicize</w:t>
      </w:r>
      <w:r>
        <w:rPr>
          <w:rFonts w:ascii="Times New Roman" w:hAnsi="Times New Roman" w:cs="Times New Roman"/>
          <w:sz w:val="28"/>
          <w:szCs w:val="28"/>
        </w:rPr>
        <w:t xml:space="preserve"> and </w:t>
      </w:r>
      <w:r w:rsidRPr="00592C86">
        <w:rPr>
          <w:rFonts w:ascii="Times New Roman" w:hAnsi="Times New Roman" w:cs="Times New Roman"/>
          <w:b/>
          <w:bCs/>
          <w:sz w:val="28"/>
          <w:szCs w:val="28"/>
        </w:rPr>
        <w:t xml:space="preserve">bold </w:t>
      </w:r>
      <w:r>
        <w:rPr>
          <w:rFonts w:ascii="Times New Roman" w:hAnsi="Times New Roman" w:cs="Times New Roman"/>
          <w:sz w:val="28"/>
          <w:szCs w:val="28"/>
        </w:rPr>
        <w:t xml:space="preserve">the word </w:t>
      </w:r>
      <w:r>
        <w:rPr>
          <w:rFonts w:ascii="Times New Roman" w:hAnsi="Times New Roman" w:cs="Times New Roman"/>
          <w:b/>
          <w:bCs/>
          <w:i/>
          <w:iCs/>
          <w:sz w:val="28"/>
          <w:szCs w:val="28"/>
        </w:rPr>
        <w:t>conviction</w:t>
      </w:r>
      <w:r>
        <w:rPr>
          <w:rFonts w:ascii="Times New Roman" w:hAnsi="Times New Roman" w:cs="Times New Roman"/>
          <w:sz w:val="28"/>
          <w:szCs w:val="28"/>
        </w:rPr>
        <w:t>. That is not an accident or coincidence</w:t>
      </w:r>
    </w:p>
    <w:p w14:paraId="7D288DB2" w14:textId="08C2A1FD" w:rsidR="00592C86" w:rsidRDefault="00592C86" w:rsidP="00592C86">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We do that to stress what we said a moment ago – merger and unit of prosecution deal only with what a defendant may be </w:t>
      </w:r>
      <w:r>
        <w:rPr>
          <w:rFonts w:ascii="Times New Roman" w:hAnsi="Times New Roman" w:cs="Times New Roman"/>
          <w:b/>
          <w:bCs/>
          <w:i/>
          <w:iCs/>
          <w:sz w:val="28"/>
          <w:szCs w:val="28"/>
        </w:rPr>
        <w:t>convicted</w:t>
      </w:r>
      <w:r>
        <w:rPr>
          <w:rFonts w:ascii="Times New Roman" w:hAnsi="Times New Roman" w:cs="Times New Roman"/>
          <w:sz w:val="28"/>
          <w:szCs w:val="28"/>
        </w:rPr>
        <w:t xml:space="preserve"> of – it has no bearing whatsoever on what the defendant can be charged with or even have a jury return a verdict on – only what a defendant may be </w:t>
      </w:r>
      <w:r>
        <w:rPr>
          <w:rFonts w:ascii="Times New Roman" w:hAnsi="Times New Roman" w:cs="Times New Roman"/>
          <w:b/>
          <w:bCs/>
          <w:i/>
          <w:iCs/>
          <w:sz w:val="28"/>
          <w:szCs w:val="28"/>
        </w:rPr>
        <w:t>convicted</w:t>
      </w:r>
      <w:r>
        <w:rPr>
          <w:rFonts w:ascii="Times New Roman" w:hAnsi="Times New Roman" w:cs="Times New Roman"/>
          <w:sz w:val="28"/>
          <w:szCs w:val="28"/>
        </w:rPr>
        <w:t xml:space="preserve"> of.</w:t>
      </w:r>
    </w:p>
    <w:p w14:paraId="2FCDA166" w14:textId="13872C75" w:rsidR="00592C86" w:rsidRPr="00592C86" w:rsidRDefault="00592C86" w:rsidP="00592C86">
      <w:pPr>
        <w:spacing w:after="0" w:line="480" w:lineRule="auto"/>
        <w:ind w:left="720"/>
        <w:rPr>
          <w:rFonts w:ascii="Times New Roman" w:hAnsi="Times New Roman" w:cs="Times New Roman"/>
          <w:sz w:val="28"/>
          <w:szCs w:val="28"/>
        </w:rPr>
      </w:pPr>
      <w:r>
        <w:rPr>
          <w:rFonts w:ascii="Times New Roman" w:hAnsi="Times New Roman" w:cs="Times New Roman"/>
          <w:sz w:val="28"/>
          <w:szCs w:val="28"/>
        </w:rPr>
        <w:lastRenderedPageBreak/>
        <w:t>Because, as we all know, a conviction requires a finding of guilt (either verdict or plea) and a written sentence filed with the clerk. A jury does not “convict” anyone – even though we all often say it wrong</w:t>
      </w:r>
    </w:p>
    <w:p w14:paraId="74518D44" w14:textId="4BD8A5D8" w:rsidR="00B81E1D" w:rsidRDefault="00B81E1D" w:rsidP="00592C86">
      <w:pPr>
        <w:spacing w:after="0" w:line="480" w:lineRule="auto"/>
        <w:rPr>
          <w:rFonts w:ascii="Times New Roman" w:hAnsi="Times New Roman" w:cs="Times New Roman"/>
          <w:sz w:val="28"/>
          <w:szCs w:val="28"/>
        </w:rPr>
      </w:pPr>
      <w:r>
        <w:rPr>
          <w:rFonts w:ascii="Times New Roman" w:hAnsi="Times New Roman" w:cs="Times New Roman"/>
          <w:sz w:val="28"/>
          <w:szCs w:val="28"/>
        </w:rPr>
        <w:t>So you may be asking yourself, “So where does ‘unit of prosecution’ fit into this analysis?”</w:t>
      </w:r>
    </w:p>
    <w:p w14:paraId="46A0101D" w14:textId="77777777" w:rsidR="00B81E1D" w:rsidRDefault="00B81E1D" w:rsidP="00B81E1D">
      <w:pPr>
        <w:spacing w:after="0" w:line="480" w:lineRule="auto"/>
        <w:ind w:left="720" w:firstLine="720"/>
        <w:rPr>
          <w:rFonts w:ascii="Times New Roman" w:hAnsi="Times New Roman" w:cs="Times New Roman"/>
          <w:sz w:val="28"/>
          <w:szCs w:val="28"/>
        </w:rPr>
      </w:pPr>
      <w:r>
        <w:rPr>
          <w:rFonts w:ascii="Times New Roman" w:hAnsi="Times New Roman" w:cs="Times New Roman"/>
          <w:sz w:val="28"/>
          <w:szCs w:val="28"/>
        </w:rPr>
        <w:t>We are glad you asked!</w:t>
      </w:r>
    </w:p>
    <w:p w14:paraId="453D6D3C" w14:textId="2EABD189" w:rsidR="00B81E1D" w:rsidRPr="00B81E1D" w:rsidRDefault="00B81E1D" w:rsidP="00B81E1D">
      <w:pPr>
        <w:spacing w:after="0" w:line="480" w:lineRule="auto"/>
        <w:rPr>
          <w:rFonts w:ascii="Times New Roman" w:hAnsi="Times New Roman" w:cs="Times New Roman"/>
          <w:sz w:val="28"/>
          <w:szCs w:val="28"/>
        </w:rPr>
        <w:sectPr w:rsidR="00B81E1D" w:rsidRPr="00B81E1D" w:rsidSect="00F63969">
          <w:footerReference w:type="default" r:id="rId8"/>
          <w:endnotePr>
            <w:numFmt w:val="decimal"/>
          </w:endnotePr>
          <w:type w:val="continuous"/>
          <w:pgSz w:w="12240" w:h="15840"/>
          <w:pgMar w:top="1440" w:right="1440" w:bottom="1440" w:left="1440" w:header="720" w:footer="720" w:gutter="0"/>
          <w:cols w:space="720"/>
          <w:docGrid w:linePitch="360"/>
        </w:sectPr>
      </w:pPr>
      <w:r w:rsidRPr="00F63969">
        <w:rPr>
          <w:rFonts w:ascii="Times New Roman" w:hAnsi="Times New Roman" w:cs="Times New Roman"/>
          <w:sz w:val="28"/>
          <w:szCs w:val="28"/>
        </w:rPr>
        <w:pict w14:anchorId="32BD9938">
          <v:rect id="_x0000_i1030" style="width:0;height:1.5pt" o:hralign="center" o:hrstd="t" o:hr="t" fillcolor="#a0a0a0" stroked="f"/>
        </w:pict>
      </w:r>
    </w:p>
    <w:p w14:paraId="65A64F44" w14:textId="71A94A9B" w:rsidR="00827E5D" w:rsidRDefault="00B81E1D" w:rsidP="00F63969">
      <w:pPr>
        <w:spacing w:after="0" w:line="480" w:lineRule="auto"/>
        <w:rPr>
          <w:rFonts w:ascii="Times New Roman" w:hAnsi="Times New Roman" w:cs="Times New Roman"/>
          <w:sz w:val="28"/>
          <w:szCs w:val="28"/>
        </w:rPr>
      </w:pPr>
      <w:r>
        <w:rPr>
          <w:rFonts w:ascii="Times New Roman" w:hAnsi="Times New Roman" w:cs="Times New Roman"/>
          <w:sz w:val="28"/>
          <w:szCs w:val="28"/>
        </w:rPr>
        <w:t>Maybe the best way to differentiate “merger” from “unit of prosecution” is to give you a quote from the Georgia Supreme Court:</w:t>
      </w:r>
    </w:p>
    <w:p w14:paraId="45E3113D" w14:textId="446D724A" w:rsidR="00B81E1D" w:rsidRDefault="00B81E1D" w:rsidP="00B81E1D">
      <w:pPr>
        <w:spacing w:after="0" w:line="480" w:lineRule="auto"/>
        <w:ind w:left="720"/>
        <w:rPr>
          <w:rFonts w:ascii="Times New Roman" w:hAnsi="Times New Roman" w:cs="Times New Roman"/>
          <w:sz w:val="28"/>
          <w:szCs w:val="28"/>
        </w:rPr>
      </w:pPr>
      <w:r w:rsidRPr="00B81E1D">
        <w:rPr>
          <w:rFonts w:ascii="Times New Roman" w:hAnsi="Times New Roman" w:cs="Times New Roman"/>
          <w:sz w:val="28"/>
          <w:szCs w:val="28"/>
        </w:rPr>
        <w:t xml:space="preserve">‘Merger’ refers generally to situations in which a defendant is prosecuted for and determined by trial or plea to be guilty of multiple criminal charges but then, as a matter of substantive double jeopardy law, can be punished—convicted and sentenced—for only one of those criminal charges. </w:t>
      </w:r>
      <w:r w:rsidRPr="00B81E1D">
        <w:rPr>
          <w:rFonts w:ascii="Times New Roman" w:hAnsi="Times New Roman" w:cs="Times New Roman"/>
          <w:sz w:val="28"/>
          <w:szCs w:val="28"/>
        </w:rPr>
        <w:t>[</w:t>
      </w:r>
      <w:proofErr w:type="spellStart"/>
      <w:r w:rsidRPr="00B81E1D">
        <w:rPr>
          <w:rFonts w:ascii="Times New Roman" w:hAnsi="Times New Roman" w:cs="Times New Roman"/>
          <w:sz w:val="28"/>
          <w:szCs w:val="28"/>
        </w:rPr>
        <w:t>cit</w:t>
      </w:r>
      <w:proofErr w:type="spellEnd"/>
      <w:r w:rsidRPr="00B81E1D">
        <w:rPr>
          <w:rFonts w:ascii="Times New Roman" w:hAnsi="Times New Roman" w:cs="Times New Roman"/>
          <w:sz w:val="28"/>
          <w:szCs w:val="28"/>
        </w:rPr>
        <w:t xml:space="preserve"> omitted]</w:t>
      </w:r>
      <w:r w:rsidRPr="00B81E1D">
        <w:rPr>
          <w:rFonts w:ascii="Times New Roman" w:hAnsi="Times New Roman" w:cs="Times New Roman"/>
          <w:sz w:val="28"/>
          <w:szCs w:val="28"/>
        </w:rPr>
        <w:t xml:space="preserve">. A unit-of-prosecution analysis, which </w:t>
      </w:r>
      <w:r>
        <w:rPr>
          <w:rFonts w:ascii="Times New Roman" w:hAnsi="Times New Roman" w:cs="Times New Roman"/>
          <w:sz w:val="28"/>
          <w:szCs w:val="28"/>
        </w:rPr>
        <w:t>‘</w:t>
      </w:r>
      <w:r w:rsidRPr="00B81E1D">
        <w:rPr>
          <w:rFonts w:ascii="Times New Roman" w:hAnsi="Times New Roman" w:cs="Times New Roman"/>
          <w:sz w:val="28"/>
          <w:szCs w:val="28"/>
        </w:rPr>
        <w:t>requires careful interpretation of the criminal statute at issue to identify the unit of prosecution—the precise act or conduct that the legislature criminalized,</w:t>
      </w:r>
      <w:r>
        <w:rPr>
          <w:rFonts w:ascii="Times New Roman" w:hAnsi="Times New Roman" w:cs="Times New Roman"/>
          <w:sz w:val="28"/>
          <w:szCs w:val="28"/>
        </w:rPr>
        <w:t>’</w:t>
      </w:r>
      <w:r w:rsidRPr="00B81E1D">
        <w:rPr>
          <w:rFonts w:ascii="Times New Roman" w:hAnsi="Times New Roman" w:cs="Times New Roman"/>
          <w:sz w:val="28"/>
          <w:szCs w:val="28"/>
        </w:rPr>
        <w:t xml:space="preserve"> should be applied to determine whether </w:t>
      </w:r>
      <w:r w:rsidR="00956F9C">
        <w:rPr>
          <w:rFonts w:ascii="Times New Roman" w:hAnsi="Times New Roman" w:cs="Times New Roman"/>
          <w:sz w:val="28"/>
          <w:szCs w:val="28"/>
        </w:rPr>
        <w:t>‘</w:t>
      </w:r>
      <w:r w:rsidRPr="00B81E1D">
        <w:rPr>
          <w:rFonts w:ascii="Times New Roman" w:hAnsi="Times New Roman" w:cs="Times New Roman"/>
          <w:sz w:val="28"/>
          <w:szCs w:val="28"/>
        </w:rPr>
        <w:t>multiple counts of the same crime</w:t>
      </w:r>
      <w:r w:rsidR="00956F9C">
        <w:rPr>
          <w:rFonts w:ascii="Times New Roman" w:hAnsi="Times New Roman" w:cs="Times New Roman"/>
          <w:sz w:val="28"/>
          <w:szCs w:val="28"/>
        </w:rPr>
        <w:t>’</w:t>
      </w:r>
      <w:r w:rsidRPr="00B81E1D">
        <w:rPr>
          <w:rFonts w:ascii="Times New Roman" w:hAnsi="Times New Roman" w:cs="Times New Roman"/>
          <w:sz w:val="28"/>
          <w:szCs w:val="28"/>
        </w:rPr>
        <w:t xml:space="preserve"> merge.</w:t>
      </w:r>
      <w:r>
        <w:rPr>
          <w:rStyle w:val="EndnoteReference"/>
          <w:rFonts w:ascii="Times New Roman" w:hAnsi="Times New Roman" w:cs="Times New Roman"/>
          <w:sz w:val="28"/>
          <w:szCs w:val="28"/>
        </w:rPr>
        <w:endnoteReference w:id="3"/>
      </w:r>
    </w:p>
    <w:p w14:paraId="420EFBA4" w14:textId="77777777" w:rsidR="00186194" w:rsidRDefault="00186194" w:rsidP="00DF2844">
      <w:pPr>
        <w:spacing w:after="0" w:line="480" w:lineRule="auto"/>
        <w:rPr>
          <w:rFonts w:ascii="Times New Roman" w:hAnsi="Times New Roman" w:cs="Times New Roman"/>
          <w:sz w:val="28"/>
          <w:szCs w:val="28"/>
        </w:rPr>
      </w:pPr>
      <w:r w:rsidRPr="00186194">
        <w:rPr>
          <w:rFonts w:ascii="Times New Roman" w:hAnsi="Times New Roman" w:cs="Times New Roman"/>
          <w:sz w:val="28"/>
          <w:szCs w:val="28"/>
        </w:rPr>
        <w:lastRenderedPageBreak/>
        <w:t xml:space="preserve">A traditional merger analysis asks whether multiple </w:t>
      </w:r>
      <w:r w:rsidRPr="00186194">
        <w:rPr>
          <w:rFonts w:ascii="Times New Roman" w:hAnsi="Times New Roman" w:cs="Times New Roman"/>
          <w:b/>
          <w:bCs/>
          <w:i/>
          <w:iCs/>
          <w:sz w:val="28"/>
          <w:szCs w:val="28"/>
        </w:rPr>
        <w:t>different</w:t>
      </w:r>
      <w:r w:rsidRPr="00186194">
        <w:rPr>
          <w:rFonts w:ascii="Times New Roman" w:hAnsi="Times New Roman" w:cs="Times New Roman"/>
          <w:i/>
          <w:iCs/>
          <w:sz w:val="28"/>
          <w:szCs w:val="28"/>
        </w:rPr>
        <w:t xml:space="preserve"> </w:t>
      </w:r>
      <w:r w:rsidRPr="00186194">
        <w:rPr>
          <w:rFonts w:ascii="Times New Roman" w:hAnsi="Times New Roman" w:cs="Times New Roman"/>
          <w:sz w:val="28"/>
          <w:szCs w:val="28"/>
        </w:rPr>
        <w:t xml:space="preserve">crimes have been committed.  </w:t>
      </w:r>
    </w:p>
    <w:p w14:paraId="56096EF1" w14:textId="53D897B2" w:rsidR="00DF2844" w:rsidRPr="00186194" w:rsidRDefault="00186194" w:rsidP="00186194">
      <w:pPr>
        <w:spacing w:after="0" w:line="480" w:lineRule="auto"/>
        <w:ind w:left="720"/>
        <w:rPr>
          <w:rFonts w:ascii="Times New Roman" w:hAnsi="Times New Roman" w:cs="Times New Roman"/>
          <w:sz w:val="28"/>
          <w:szCs w:val="28"/>
        </w:rPr>
      </w:pPr>
      <w:r w:rsidRPr="00186194">
        <w:rPr>
          <w:rFonts w:ascii="Times New Roman" w:hAnsi="Times New Roman" w:cs="Times New Roman"/>
          <w:sz w:val="28"/>
          <w:szCs w:val="28"/>
        </w:rPr>
        <w:t xml:space="preserve">Unit of prosecution is focused upon multiple charges for the </w:t>
      </w:r>
      <w:r w:rsidRPr="00186194">
        <w:rPr>
          <w:rFonts w:ascii="Times New Roman" w:hAnsi="Times New Roman" w:cs="Times New Roman"/>
          <w:b/>
          <w:bCs/>
          <w:i/>
          <w:iCs/>
          <w:sz w:val="28"/>
          <w:szCs w:val="28"/>
        </w:rPr>
        <w:t>same</w:t>
      </w:r>
      <w:r w:rsidRPr="00186194">
        <w:rPr>
          <w:rFonts w:ascii="Times New Roman" w:hAnsi="Times New Roman" w:cs="Times New Roman"/>
          <w:sz w:val="28"/>
          <w:szCs w:val="28"/>
        </w:rPr>
        <w:t xml:space="preserve"> crime.  Unit of prosecution asks whether the defendant violated the </w:t>
      </w:r>
      <w:r w:rsidRPr="00956F9C">
        <w:rPr>
          <w:rFonts w:ascii="Times New Roman" w:hAnsi="Times New Roman" w:cs="Times New Roman"/>
          <w:b/>
          <w:bCs/>
          <w:i/>
          <w:iCs/>
          <w:sz w:val="28"/>
          <w:szCs w:val="28"/>
        </w:rPr>
        <w:t>same</w:t>
      </w:r>
      <w:r w:rsidRPr="00186194">
        <w:rPr>
          <w:rFonts w:ascii="Times New Roman" w:hAnsi="Times New Roman" w:cs="Times New Roman"/>
          <w:sz w:val="28"/>
          <w:szCs w:val="28"/>
        </w:rPr>
        <w:t xml:space="preserve"> statute more than once.</w:t>
      </w:r>
      <w:r w:rsidRPr="00186194">
        <w:rPr>
          <w:rStyle w:val="EndnoteReference"/>
          <w:rFonts w:ascii="Times New Roman" w:hAnsi="Times New Roman" w:cs="Times New Roman"/>
          <w:sz w:val="28"/>
          <w:szCs w:val="28"/>
        </w:rPr>
        <w:endnoteReference w:id="4"/>
      </w:r>
      <w:r w:rsidRPr="00186194">
        <w:rPr>
          <w:rFonts w:ascii="Times New Roman" w:hAnsi="Times New Roman" w:cs="Times New Roman"/>
          <w:sz w:val="28"/>
          <w:szCs w:val="28"/>
        </w:rPr>
        <w:t xml:space="preserve"> </w:t>
      </w:r>
    </w:p>
    <w:p w14:paraId="0CA20F2C" w14:textId="50498A8A" w:rsidR="00DF2844" w:rsidRDefault="00DF2844" w:rsidP="00DF2844">
      <w:pPr>
        <w:spacing w:after="0" w:line="480" w:lineRule="auto"/>
        <w:rPr>
          <w:rFonts w:ascii="Times New Roman" w:hAnsi="Times New Roman" w:cs="Times New Roman"/>
          <w:sz w:val="28"/>
          <w:szCs w:val="28"/>
        </w:rPr>
      </w:pPr>
      <w:r>
        <w:rPr>
          <w:rFonts w:ascii="Times New Roman" w:hAnsi="Times New Roman" w:cs="Times New Roman"/>
          <w:sz w:val="28"/>
          <w:szCs w:val="28"/>
        </w:rPr>
        <w:t>Ultimately, a unit of prosecution analysis requires the court to determine what legislative choice the legislature made when enacting the statute.</w:t>
      </w:r>
      <w:r>
        <w:rPr>
          <w:rStyle w:val="EndnoteReference"/>
          <w:rFonts w:ascii="Times New Roman" w:hAnsi="Times New Roman" w:cs="Times New Roman"/>
          <w:sz w:val="28"/>
          <w:szCs w:val="28"/>
        </w:rPr>
        <w:endnoteReference w:id="5"/>
      </w:r>
    </w:p>
    <w:p w14:paraId="3F37A7ED" w14:textId="09D2AB2C" w:rsidR="00DF2844" w:rsidRDefault="00DF2844" w:rsidP="00186194">
      <w:pPr>
        <w:spacing w:after="0" w:line="480" w:lineRule="auto"/>
        <w:ind w:left="720"/>
        <w:rPr>
          <w:rFonts w:ascii="Times New Roman" w:hAnsi="Times New Roman" w:cs="Times New Roman"/>
          <w:sz w:val="28"/>
          <w:szCs w:val="28"/>
        </w:rPr>
      </w:pPr>
      <w:r>
        <w:rPr>
          <w:rFonts w:ascii="Times New Roman" w:hAnsi="Times New Roman" w:cs="Times New Roman"/>
          <w:sz w:val="28"/>
          <w:szCs w:val="28"/>
        </w:rPr>
        <w:t xml:space="preserve">Did the legislature intend </w:t>
      </w:r>
      <w:r w:rsidR="00186194">
        <w:rPr>
          <w:rFonts w:ascii="Times New Roman" w:hAnsi="Times New Roman" w:cs="Times New Roman"/>
          <w:sz w:val="28"/>
          <w:szCs w:val="28"/>
        </w:rPr>
        <w:t>to create multiple offenses or did they intend to criminalize one act?</w:t>
      </w:r>
    </w:p>
    <w:p w14:paraId="160637B5" w14:textId="5DAB364A" w:rsidR="00956F9C" w:rsidRDefault="00956F9C" w:rsidP="00956F9C">
      <w:pPr>
        <w:spacing w:after="0" w:line="480" w:lineRule="auto"/>
        <w:rPr>
          <w:rFonts w:ascii="Times New Roman" w:hAnsi="Times New Roman" w:cs="Times New Roman"/>
          <w:sz w:val="28"/>
          <w:szCs w:val="28"/>
        </w:rPr>
      </w:pPr>
      <w:r>
        <w:rPr>
          <w:rFonts w:ascii="Times New Roman" w:hAnsi="Times New Roman" w:cs="Times New Roman"/>
          <w:sz w:val="28"/>
          <w:szCs w:val="28"/>
        </w:rPr>
        <w:t>It is NOT wrong to say that multiple charges of the same crime would “merge” under the unit of prosecution rule</w:t>
      </w:r>
    </w:p>
    <w:p w14:paraId="72BA2877" w14:textId="43A4E7D4" w:rsidR="00956F9C" w:rsidRDefault="00956F9C" w:rsidP="00956F9C">
      <w:pPr>
        <w:spacing w:after="0" w:line="480" w:lineRule="auto"/>
        <w:ind w:left="720"/>
        <w:rPr>
          <w:rFonts w:ascii="Times New Roman" w:hAnsi="Times New Roman" w:cs="Times New Roman"/>
          <w:sz w:val="28"/>
          <w:szCs w:val="28"/>
        </w:rPr>
      </w:pPr>
      <w:r>
        <w:rPr>
          <w:rFonts w:ascii="Times New Roman" w:hAnsi="Times New Roman" w:cs="Times New Roman"/>
          <w:sz w:val="28"/>
          <w:szCs w:val="28"/>
        </w:rPr>
        <w:t>But it would be wrong to apply the traditional rules of merger (i.e. the “required evidence test”) to a unit of prosecution analysis</w:t>
      </w:r>
      <w:r>
        <w:rPr>
          <w:rStyle w:val="EndnoteReference"/>
          <w:rFonts w:ascii="Times New Roman" w:hAnsi="Times New Roman" w:cs="Times New Roman"/>
          <w:sz w:val="28"/>
          <w:szCs w:val="28"/>
        </w:rPr>
        <w:endnoteReference w:id="6"/>
      </w:r>
    </w:p>
    <w:p w14:paraId="3DE34CC6" w14:textId="188CF4F7" w:rsidR="00186194" w:rsidRDefault="00186194" w:rsidP="00186194">
      <w:pPr>
        <w:spacing w:after="0" w:line="480" w:lineRule="auto"/>
        <w:rPr>
          <w:rFonts w:ascii="Times New Roman" w:hAnsi="Times New Roman" w:cs="Times New Roman"/>
          <w:sz w:val="28"/>
          <w:szCs w:val="28"/>
        </w:rPr>
      </w:pPr>
      <w:r w:rsidRPr="00F63969">
        <w:rPr>
          <w:rFonts w:ascii="Times New Roman" w:hAnsi="Times New Roman" w:cs="Times New Roman"/>
          <w:sz w:val="28"/>
          <w:szCs w:val="28"/>
        </w:rPr>
        <w:pict w14:anchorId="3A52E0F5">
          <v:rect id="_x0000_i1047" style="width:0;height:1.5pt" o:hralign="center" o:hrstd="t" o:hr="t" fillcolor="#a0a0a0" stroked="f"/>
        </w:pict>
      </w:r>
    </w:p>
    <w:p w14:paraId="2DC3403C" w14:textId="30426359" w:rsidR="00956F9C" w:rsidRDefault="00956F9C" w:rsidP="00186194">
      <w:pPr>
        <w:spacing w:after="0" w:line="480" w:lineRule="auto"/>
        <w:rPr>
          <w:rFonts w:ascii="Times New Roman" w:hAnsi="Times New Roman" w:cs="Times New Roman"/>
          <w:sz w:val="28"/>
          <w:szCs w:val="28"/>
        </w:rPr>
      </w:pPr>
      <w:r>
        <w:rPr>
          <w:rFonts w:ascii="Times New Roman" w:hAnsi="Times New Roman" w:cs="Times New Roman"/>
          <w:sz w:val="28"/>
          <w:szCs w:val="28"/>
        </w:rPr>
        <w:t>One more disclaimer before we go to the deep end of unit of prosecution – if the charging instrument charges the same crime but alleges it was committed on different dates AND THE DATE IS MADE A MATERIAL ALLEGATION of each charge, the offenses would not merge – or fall under the unit of prosecution rule</w:t>
      </w:r>
    </w:p>
    <w:p w14:paraId="18C5AD7D" w14:textId="6D7414A0" w:rsidR="00956F9C" w:rsidRDefault="00956F9C" w:rsidP="00186194">
      <w:pPr>
        <w:spacing w:after="0" w:line="480" w:lineRule="auto"/>
        <w:rPr>
          <w:rFonts w:ascii="Times New Roman" w:hAnsi="Times New Roman" w:cs="Times New Roman"/>
          <w:sz w:val="28"/>
          <w:szCs w:val="28"/>
        </w:rPr>
      </w:pPr>
      <w:r>
        <w:rPr>
          <w:rFonts w:ascii="Times New Roman" w:hAnsi="Times New Roman" w:cs="Times New Roman"/>
          <w:sz w:val="28"/>
          <w:szCs w:val="28"/>
        </w:rPr>
        <w:tab/>
        <w:t>Ok, with all of those disclaimers, let’s head to the deep end</w:t>
      </w:r>
    </w:p>
    <w:p w14:paraId="022A5E19" w14:textId="3E6BABA6" w:rsidR="00956F9C" w:rsidRDefault="00956F9C" w:rsidP="00186194">
      <w:pPr>
        <w:spacing w:after="0" w:line="480" w:lineRule="auto"/>
        <w:rPr>
          <w:rFonts w:ascii="Times New Roman" w:hAnsi="Times New Roman" w:cs="Times New Roman"/>
          <w:sz w:val="28"/>
          <w:szCs w:val="28"/>
        </w:rPr>
      </w:pPr>
      <w:r w:rsidRPr="00F63969">
        <w:rPr>
          <w:rFonts w:ascii="Times New Roman" w:hAnsi="Times New Roman" w:cs="Times New Roman"/>
          <w:sz w:val="28"/>
          <w:szCs w:val="28"/>
        </w:rPr>
        <w:lastRenderedPageBreak/>
        <w:pict w14:anchorId="7A9B99E4">
          <v:rect id="_x0000_i1051" style="width:0;height:1.5pt" o:hralign="center" o:hrstd="t" o:hr="t" fillcolor="#a0a0a0" stroked="f"/>
        </w:pict>
      </w:r>
    </w:p>
    <w:p w14:paraId="215A4902" w14:textId="1D0040D0" w:rsidR="00186194" w:rsidRDefault="00186194" w:rsidP="00186194">
      <w:pPr>
        <w:spacing w:after="0" w:line="480" w:lineRule="auto"/>
        <w:rPr>
          <w:rFonts w:ascii="Times New Roman" w:hAnsi="Times New Roman" w:cs="Times New Roman"/>
          <w:sz w:val="28"/>
          <w:szCs w:val="28"/>
        </w:rPr>
      </w:pPr>
      <w:r>
        <w:rPr>
          <w:rFonts w:ascii="Times New Roman" w:hAnsi="Times New Roman" w:cs="Times New Roman"/>
          <w:sz w:val="28"/>
          <w:szCs w:val="28"/>
        </w:rPr>
        <w:t>The best way to explain unit of prosecution is to look at a couple of statutes, how they were interpreted and then what the legislature did in response.</w:t>
      </w:r>
    </w:p>
    <w:p w14:paraId="7AB63A3E" w14:textId="3B8A1B1C" w:rsidR="00186194" w:rsidRDefault="00186194" w:rsidP="00186194">
      <w:pPr>
        <w:spacing w:after="0" w:line="480" w:lineRule="auto"/>
        <w:ind w:left="720"/>
        <w:rPr>
          <w:rFonts w:ascii="Times New Roman" w:hAnsi="Times New Roman" w:cs="Times New Roman"/>
          <w:sz w:val="28"/>
          <w:szCs w:val="28"/>
        </w:rPr>
      </w:pPr>
      <w:r w:rsidRPr="00186194">
        <w:rPr>
          <w:rFonts w:ascii="Times New Roman" w:hAnsi="Times New Roman" w:cs="Times New Roman"/>
          <w:sz w:val="28"/>
          <w:szCs w:val="28"/>
        </w:rPr>
        <w:t>Where an armed robbery is committed and multiple items of property are stolen from the victim, the act that the legislature intended to criminalize was taking of property with the use of a deadly weapon.  The fact that multiple items were stolen during the transaction is only evidence of the underlying crime of armed robbery and do not create separate crimes.  There can only be one armed robbery sentence imposed in that situation.</w:t>
      </w:r>
      <w:r w:rsidRPr="00186194">
        <w:rPr>
          <w:rFonts w:ascii="Times New Roman" w:hAnsi="Times New Roman" w:cs="Times New Roman"/>
          <w:b/>
          <w:sz w:val="28"/>
          <w:szCs w:val="28"/>
          <w:vertAlign w:val="superscript"/>
        </w:rPr>
        <w:endnoteReference w:id="7"/>
      </w:r>
    </w:p>
    <w:p w14:paraId="4D04346F" w14:textId="1857D408" w:rsidR="00186194" w:rsidRDefault="00186194" w:rsidP="00186194">
      <w:pPr>
        <w:spacing w:after="0" w:line="480" w:lineRule="auto"/>
        <w:rPr>
          <w:rFonts w:ascii="Times New Roman" w:hAnsi="Times New Roman" w:cs="Times New Roman"/>
          <w:sz w:val="28"/>
          <w:szCs w:val="28"/>
        </w:rPr>
      </w:pPr>
      <w:r>
        <w:rPr>
          <w:rFonts w:ascii="Times New Roman" w:hAnsi="Times New Roman" w:cs="Times New Roman"/>
          <w:sz w:val="28"/>
          <w:szCs w:val="28"/>
        </w:rPr>
        <w:t>Let’s turn to possession of a firearm charges (both by a convicted felon and during the commission of a felony)</w:t>
      </w:r>
    </w:p>
    <w:p w14:paraId="14101D34" w14:textId="77777777" w:rsidR="00186194" w:rsidRDefault="00186194" w:rsidP="00186194">
      <w:pPr>
        <w:spacing w:after="0" w:line="480" w:lineRule="auto"/>
        <w:ind w:left="720"/>
        <w:rPr>
          <w:rFonts w:ascii="Times New Roman" w:hAnsi="Times New Roman" w:cs="Times New Roman"/>
          <w:sz w:val="28"/>
          <w:szCs w:val="28"/>
        </w:rPr>
      </w:pPr>
      <w:r w:rsidRPr="00186194">
        <w:rPr>
          <w:rFonts w:ascii="Times New Roman" w:hAnsi="Times New Roman" w:cs="Times New Roman"/>
          <w:sz w:val="28"/>
          <w:szCs w:val="28"/>
        </w:rPr>
        <w:t>Where a defendant is charged with possession of firearm by convicted felon and had multiple firearms in his possession, the unit of prosecution rule results in only one conviction.</w:t>
      </w:r>
      <w:r w:rsidRPr="00186194">
        <w:rPr>
          <w:rFonts w:ascii="Times New Roman" w:hAnsi="Times New Roman" w:cs="Times New Roman"/>
          <w:b/>
          <w:sz w:val="28"/>
          <w:szCs w:val="28"/>
          <w:vertAlign w:val="superscript"/>
        </w:rPr>
        <w:endnoteReference w:id="8"/>
      </w:r>
      <w:r w:rsidRPr="00186194">
        <w:rPr>
          <w:rFonts w:ascii="Times New Roman" w:hAnsi="Times New Roman" w:cs="Times New Roman"/>
          <w:sz w:val="28"/>
          <w:szCs w:val="28"/>
        </w:rPr>
        <w:t xml:space="preserve"> </w:t>
      </w:r>
    </w:p>
    <w:p w14:paraId="48B48BC3" w14:textId="77777777" w:rsidR="00186194" w:rsidRDefault="00186194" w:rsidP="00186194">
      <w:pPr>
        <w:spacing w:after="0" w:line="480" w:lineRule="auto"/>
        <w:ind w:left="720"/>
        <w:rPr>
          <w:rFonts w:ascii="Times New Roman" w:hAnsi="Times New Roman" w:cs="Times New Roman"/>
          <w:sz w:val="28"/>
          <w:szCs w:val="28"/>
        </w:rPr>
      </w:pPr>
      <w:r w:rsidRPr="00186194">
        <w:rPr>
          <w:rFonts w:ascii="Times New Roman" w:hAnsi="Times New Roman" w:cs="Times New Roman"/>
          <w:sz w:val="28"/>
          <w:szCs w:val="28"/>
        </w:rPr>
        <w:t>Similarly, where a defendant is charged with possession of a firearm during the commission of a crime in multiple counts, either because the defendant had several different guns or committed several offenses with a single gun, there can only be one conviction for that offense.</w:t>
      </w:r>
      <w:r w:rsidRPr="00186194">
        <w:rPr>
          <w:rFonts w:ascii="Times New Roman" w:hAnsi="Times New Roman" w:cs="Times New Roman"/>
          <w:b/>
          <w:sz w:val="28"/>
          <w:szCs w:val="28"/>
          <w:vertAlign w:val="superscript"/>
        </w:rPr>
        <w:endnoteReference w:id="9"/>
      </w:r>
      <w:r w:rsidRPr="00186194">
        <w:rPr>
          <w:rFonts w:ascii="Times New Roman" w:hAnsi="Times New Roman" w:cs="Times New Roman"/>
          <w:sz w:val="28"/>
          <w:szCs w:val="28"/>
        </w:rPr>
        <w:t xml:space="preserve">  </w:t>
      </w:r>
    </w:p>
    <w:p w14:paraId="50A06DAC" w14:textId="04F9ECEC" w:rsidR="00186194" w:rsidRDefault="00186194" w:rsidP="00186194">
      <w:pPr>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 xml:space="preserve">So the appellate decisions indicated that based upon the language of the then-existing statutes, it did not matter if the convicted felon had one gun or 100 guns – there could only be one </w:t>
      </w:r>
      <w:r>
        <w:rPr>
          <w:rFonts w:ascii="Times New Roman" w:hAnsi="Times New Roman" w:cs="Times New Roman"/>
          <w:b/>
          <w:bCs/>
          <w:i/>
          <w:iCs/>
          <w:sz w:val="28"/>
          <w:szCs w:val="28"/>
        </w:rPr>
        <w:t>conviction</w:t>
      </w:r>
      <w:r>
        <w:rPr>
          <w:rFonts w:ascii="Times New Roman" w:hAnsi="Times New Roman" w:cs="Times New Roman"/>
          <w:sz w:val="28"/>
          <w:szCs w:val="28"/>
        </w:rPr>
        <w:t xml:space="preserve"> for possession of a firearm by a convicted felon</w:t>
      </w:r>
    </w:p>
    <w:p w14:paraId="2058E1D5" w14:textId="2A639E4E" w:rsidR="00186194" w:rsidRDefault="00186194" w:rsidP="003F13B5">
      <w:pPr>
        <w:spacing w:after="0" w:line="480" w:lineRule="auto"/>
        <w:ind w:left="720"/>
        <w:rPr>
          <w:rFonts w:ascii="Times New Roman" w:hAnsi="Times New Roman" w:cs="Times New Roman"/>
          <w:sz w:val="28"/>
          <w:szCs w:val="28"/>
        </w:rPr>
      </w:pPr>
      <w:r>
        <w:rPr>
          <w:rFonts w:ascii="Times New Roman" w:hAnsi="Times New Roman" w:cs="Times New Roman"/>
          <w:sz w:val="28"/>
          <w:szCs w:val="28"/>
        </w:rPr>
        <w:t xml:space="preserve">That changed in 2022 – the legislature amended the </w:t>
      </w:r>
      <w:r w:rsidR="00153738">
        <w:rPr>
          <w:rFonts w:ascii="Times New Roman" w:hAnsi="Times New Roman" w:cs="Times New Roman"/>
          <w:sz w:val="28"/>
          <w:szCs w:val="28"/>
        </w:rPr>
        <w:t xml:space="preserve">possession of a firearm by a convicted felon </w:t>
      </w:r>
      <w:r>
        <w:rPr>
          <w:rFonts w:ascii="Times New Roman" w:hAnsi="Times New Roman" w:cs="Times New Roman"/>
          <w:sz w:val="28"/>
          <w:szCs w:val="28"/>
        </w:rPr>
        <w:t>statute to add a new subsection (g) to OCGA § 16-11-131 that provides that for any violation involving multiple firearms, each firearm connected to such violation shall constitute a separate offense.</w:t>
      </w:r>
    </w:p>
    <w:p w14:paraId="3A6B2330" w14:textId="2E81EFDA" w:rsidR="00186194" w:rsidRPr="00186194" w:rsidRDefault="00186194" w:rsidP="003F13B5">
      <w:pPr>
        <w:spacing w:after="0" w:line="480" w:lineRule="auto"/>
        <w:rPr>
          <w:rFonts w:ascii="Times New Roman" w:hAnsi="Times New Roman" w:cs="Times New Roman"/>
          <w:sz w:val="28"/>
          <w:szCs w:val="28"/>
        </w:rPr>
      </w:pPr>
      <w:r>
        <w:rPr>
          <w:rFonts w:ascii="Times New Roman" w:hAnsi="Times New Roman" w:cs="Times New Roman"/>
          <w:sz w:val="28"/>
          <w:szCs w:val="28"/>
        </w:rPr>
        <w:t>The legislature made a choice and decided that a convicted felon should not be in possession of a firearm and that if he/she had multiple firearms, each firearm should be a separate offense</w:t>
      </w:r>
    </w:p>
    <w:p w14:paraId="64D1D710" w14:textId="493D1DFF" w:rsidR="00186194" w:rsidRDefault="00186194" w:rsidP="003F13B5">
      <w:pPr>
        <w:spacing w:after="0" w:line="480" w:lineRule="auto"/>
        <w:ind w:left="720"/>
        <w:rPr>
          <w:rFonts w:ascii="Times New Roman" w:hAnsi="Times New Roman" w:cs="Times New Roman"/>
          <w:sz w:val="28"/>
          <w:szCs w:val="28"/>
        </w:rPr>
      </w:pPr>
      <w:r w:rsidRPr="00186194">
        <w:rPr>
          <w:rFonts w:ascii="Times New Roman" w:hAnsi="Times New Roman" w:cs="Times New Roman"/>
          <w:sz w:val="28"/>
          <w:szCs w:val="28"/>
        </w:rPr>
        <w:t xml:space="preserve">It should be noted that there can be a separate charge for possession of a firearm during commission of a crime for each </w:t>
      </w:r>
      <w:r w:rsidRPr="00186194">
        <w:rPr>
          <w:rFonts w:ascii="Times New Roman" w:hAnsi="Times New Roman" w:cs="Times New Roman"/>
          <w:b/>
          <w:bCs/>
          <w:i/>
          <w:iCs/>
          <w:sz w:val="28"/>
          <w:szCs w:val="28"/>
        </w:rPr>
        <w:t>victim</w:t>
      </w:r>
      <w:r w:rsidRPr="00186194">
        <w:rPr>
          <w:rFonts w:ascii="Times New Roman" w:hAnsi="Times New Roman" w:cs="Times New Roman"/>
          <w:sz w:val="28"/>
          <w:szCs w:val="28"/>
        </w:rPr>
        <w:t xml:space="preserve"> of the predicate felony crimes.</w:t>
      </w:r>
      <w:r w:rsidRPr="00186194">
        <w:rPr>
          <w:rFonts w:ascii="Times New Roman" w:hAnsi="Times New Roman" w:cs="Times New Roman"/>
          <w:b/>
          <w:sz w:val="28"/>
          <w:szCs w:val="28"/>
          <w:vertAlign w:val="superscript"/>
        </w:rPr>
        <w:endnoteReference w:id="10"/>
      </w:r>
    </w:p>
    <w:p w14:paraId="4AA9EFCC" w14:textId="3736590B" w:rsidR="00153738" w:rsidRDefault="00153738" w:rsidP="00153738">
      <w:pPr>
        <w:spacing w:after="0" w:line="480" w:lineRule="auto"/>
        <w:rPr>
          <w:rFonts w:ascii="Times New Roman" w:hAnsi="Times New Roman" w:cs="Times New Roman"/>
          <w:sz w:val="28"/>
          <w:szCs w:val="28"/>
        </w:rPr>
      </w:pPr>
      <w:r>
        <w:rPr>
          <w:rFonts w:ascii="Times New Roman" w:hAnsi="Times New Roman" w:cs="Times New Roman"/>
          <w:sz w:val="28"/>
          <w:szCs w:val="28"/>
        </w:rPr>
        <w:t>[note: there was not a similar change made to the statute which outlaws possession of a firearm during the commission of certain felonies (OCGA § 16-11-106) – the number of firearms possessed</w:t>
      </w:r>
      <w:r w:rsidR="003F13B5">
        <w:rPr>
          <w:rFonts w:ascii="Times New Roman" w:hAnsi="Times New Roman" w:cs="Times New Roman"/>
          <w:sz w:val="28"/>
          <w:szCs w:val="28"/>
        </w:rPr>
        <w:t xml:space="preserve"> when the charge is possession of a firearm during the commission of a crime</w:t>
      </w:r>
      <w:r>
        <w:rPr>
          <w:rFonts w:ascii="Times New Roman" w:hAnsi="Times New Roman" w:cs="Times New Roman"/>
          <w:sz w:val="28"/>
          <w:szCs w:val="28"/>
        </w:rPr>
        <w:t xml:space="preserve"> does not give rise to multiple </w:t>
      </w:r>
      <w:r>
        <w:rPr>
          <w:rFonts w:ascii="Times New Roman" w:hAnsi="Times New Roman" w:cs="Times New Roman"/>
          <w:b/>
          <w:bCs/>
          <w:i/>
          <w:iCs/>
          <w:sz w:val="28"/>
          <w:szCs w:val="28"/>
        </w:rPr>
        <w:t>convictions</w:t>
      </w:r>
      <w:r>
        <w:rPr>
          <w:rFonts w:ascii="Times New Roman" w:hAnsi="Times New Roman" w:cs="Times New Roman"/>
          <w:sz w:val="28"/>
          <w:szCs w:val="28"/>
        </w:rPr>
        <w:t>]</w:t>
      </w:r>
    </w:p>
    <w:p w14:paraId="3EFD075F" w14:textId="6DF0ACB2" w:rsidR="00153738" w:rsidRPr="00186194" w:rsidRDefault="00153738" w:rsidP="00153738">
      <w:pPr>
        <w:spacing w:after="0" w:line="480" w:lineRule="auto"/>
        <w:rPr>
          <w:rFonts w:ascii="Times New Roman" w:hAnsi="Times New Roman" w:cs="Times New Roman"/>
          <w:sz w:val="28"/>
          <w:szCs w:val="28"/>
        </w:rPr>
      </w:pPr>
      <w:r w:rsidRPr="00F63969">
        <w:rPr>
          <w:rFonts w:ascii="Times New Roman" w:hAnsi="Times New Roman" w:cs="Times New Roman"/>
          <w:sz w:val="28"/>
          <w:szCs w:val="28"/>
        </w:rPr>
        <w:pict w14:anchorId="322FC6F6">
          <v:rect id="_x0000_i1048" style="width:0;height:1.5pt" o:hralign="center" o:hrstd="t" o:hr="t" fillcolor="#a0a0a0" stroked="f"/>
        </w:pict>
      </w:r>
    </w:p>
    <w:p w14:paraId="073AF43C" w14:textId="287AD2A2" w:rsidR="00186194" w:rsidRDefault="00153738" w:rsidP="00186194">
      <w:pPr>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 xml:space="preserve">Let’s turn to child molestation offenses. Previously, if a defendant was charged with </w:t>
      </w:r>
      <w:r w:rsidR="004A5648">
        <w:rPr>
          <w:rFonts w:ascii="Times New Roman" w:hAnsi="Times New Roman" w:cs="Times New Roman"/>
          <w:sz w:val="28"/>
          <w:szCs w:val="28"/>
        </w:rPr>
        <w:t xml:space="preserve">touching a child inappropriately on different sections of the child’s body, the defendant could only be </w:t>
      </w:r>
      <w:r w:rsidR="004A5648">
        <w:rPr>
          <w:rFonts w:ascii="Times New Roman" w:hAnsi="Times New Roman" w:cs="Times New Roman"/>
          <w:b/>
          <w:bCs/>
          <w:i/>
          <w:iCs/>
          <w:sz w:val="28"/>
          <w:szCs w:val="28"/>
        </w:rPr>
        <w:t>convicted</w:t>
      </w:r>
      <w:r w:rsidR="004A5648">
        <w:rPr>
          <w:rFonts w:ascii="Times New Roman" w:hAnsi="Times New Roman" w:cs="Times New Roman"/>
          <w:sz w:val="28"/>
          <w:szCs w:val="28"/>
        </w:rPr>
        <w:t xml:space="preserve"> of one count of child molestation (assuming there was only one</w:t>
      </w:r>
      <w:r w:rsidR="003F13B5">
        <w:rPr>
          <w:rFonts w:ascii="Times New Roman" w:hAnsi="Times New Roman" w:cs="Times New Roman"/>
          <w:sz w:val="28"/>
          <w:szCs w:val="28"/>
        </w:rPr>
        <w:t xml:space="preserve"> uninterrupted</w:t>
      </w:r>
      <w:r w:rsidR="004A5648">
        <w:rPr>
          <w:rFonts w:ascii="Times New Roman" w:hAnsi="Times New Roman" w:cs="Times New Roman"/>
          <w:sz w:val="28"/>
          <w:szCs w:val="28"/>
        </w:rPr>
        <w:t xml:space="preserve"> assault).</w:t>
      </w:r>
      <w:r w:rsidR="003F13B5">
        <w:rPr>
          <w:rStyle w:val="EndnoteReference"/>
          <w:rFonts w:ascii="Times New Roman" w:hAnsi="Times New Roman" w:cs="Times New Roman"/>
          <w:sz w:val="28"/>
          <w:szCs w:val="28"/>
        </w:rPr>
        <w:endnoteReference w:id="11"/>
      </w:r>
      <w:r w:rsidR="004A5648">
        <w:rPr>
          <w:rFonts w:ascii="Times New Roman" w:hAnsi="Times New Roman" w:cs="Times New Roman"/>
          <w:sz w:val="28"/>
          <w:szCs w:val="28"/>
        </w:rPr>
        <w:t xml:space="preserve"> </w:t>
      </w:r>
    </w:p>
    <w:p w14:paraId="18BE44BE" w14:textId="565FFB66" w:rsidR="004A5648" w:rsidRDefault="004A5648" w:rsidP="004A5648">
      <w:pPr>
        <w:spacing w:after="0" w:line="480" w:lineRule="auto"/>
        <w:ind w:left="720"/>
        <w:rPr>
          <w:rFonts w:ascii="Times New Roman" w:hAnsi="Times New Roman" w:cs="Times New Roman"/>
          <w:sz w:val="28"/>
          <w:szCs w:val="28"/>
        </w:rPr>
      </w:pPr>
      <w:r>
        <w:rPr>
          <w:rFonts w:ascii="Times New Roman" w:hAnsi="Times New Roman" w:cs="Times New Roman"/>
          <w:sz w:val="28"/>
          <w:szCs w:val="28"/>
        </w:rPr>
        <w:t xml:space="preserve">In 2022, the legislature amended OCGA § 16-6-4 to add a new subsection (b.1). </w:t>
      </w:r>
    </w:p>
    <w:p w14:paraId="1418D020" w14:textId="77777777" w:rsidR="004A5648" w:rsidRDefault="004A5648" w:rsidP="004A5648">
      <w:pPr>
        <w:spacing w:after="0" w:line="480" w:lineRule="auto"/>
        <w:ind w:left="1440"/>
        <w:rPr>
          <w:rFonts w:ascii="Times New Roman" w:hAnsi="Times New Roman" w:cs="Times New Roman"/>
          <w:sz w:val="28"/>
          <w:szCs w:val="28"/>
        </w:rPr>
      </w:pPr>
      <w:r w:rsidRPr="004A5648">
        <w:rPr>
          <w:rFonts w:ascii="Times New Roman" w:hAnsi="Times New Roman" w:cs="Times New Roman"/>
          <w:sz w:val="28"/>
          <w:szCs w:val="28"/>
        </w:rPr>
        <w:t xml:space="preserve">That new subsection provides that “when a person does an immoral or indecent act involving touching of any child under the age of 16 years with the intent to arouse or satisfy the sexual desires of the child or the person, and such person touches such child in multiple areas of such child’s body, the touching of each area shall constitute a separate offense of child molestation.”  </w:t>
      </w:r>
    </w:p>
    <w:p w14:paraId="4FADE693" w14:textId="22012B93" w:rsidR="004A5648" w:rsidRDefault="004A5648" w:rsidP="004A5648">
      <w:pPr>
        <w:spacing w:after="0" w:line="480" w:lineRule="auto"/>
        <w:rPr>
          <w:rFonts w:ascii="Times New Roman" w:hAnsi="Times New Roman" w:cs="Times New Roman"/>
          <w:sz w:val="28"/>
          <w:szCs w:val="28"/>
        </w:rPr>
      </w:pPr>
      <w:r w:rsidRPr="004A5648">
        <w:rPr>
          <w:rFonts w:ascii="Times New Roman" w:hAnsi="Times New Roman" w:cs="Times New Roman"/>
          <w:sz w:val="28"/>
          <w:szCs w:val="28"/>
        </w:rPr>
        <w:t xml:space="preserve">Therefore, </w:t>
      </w:r>
      <w:r>
        <w:rPr>
          <w:rFonts w:ascii="Times New Roman" w:hAnsi="Times New Roman" w:cs="Times New Roman"/>
          <w:sz w:val="28"/>
          <w:szCs w:val="28"/>
        </w:rPr>
        <w:t>assuming the facts show a single “offense date” or a singular transaction</w:t>
      </w:r>
      <w:r w:rsidRPr="004A5648">
        <w:rPr>
          <w:rFonts w:ascii="Times New Roman" w:hAnsi="Times New Roman" w:cs="Times New Roman"/>
          <w:sz w:val="28"/>
          <w:szCs w:val="28"/>
        </w:rPr>
        <w:t>, if a defendant is proven to have touched a child’s breasts and a second count of the indictment alleges that the defendant also illegally touched the child’s vagina, there can be two separate convictions for the offense of child molestation and the two offenses, assuming they were charged separately, would not merge.</w:t>
      </w:r>
    </w:p>
    <w:p w14:paraId="4816C49A" w14:textId="2A4A39A3" w:rsidR="004A5648" w:rsidRPr="004A5648" w:rsidRDefault="004A5648" w:rsidP="004A5648">
      <w:pPr>
        <w:spacing w:after="0" w:line="480" w:lineRule="auto"/>
        <w:rPr>
          <w:rFonts w:ascii="Times New Roman" w:hAnsi="Times New Roman" w:cs="Times New Roman"/>
          <w:sz w:val="28"/>
          <w:szCs w:val="28"/>
        </w:rPr>
      </w:pPr>
      <w:r w:rsidRPr="00F63969">
        <w:rPr>
          <w:rFonts w:ascii="Times New Roman" w:hAnsi="Times New Roman" w:cs="Times New Roman"/>
          <w:sz w:val="28"/>
          <w:szCs w:val="28"/>
        </w:rPr>
        <w:pict w14:anchorId="49004454">
          <v:rect id="_x0000_i1049" style="width:0;height:1.5pt" o:hralign="center" o:hrstd="t" o:hr="t" fillcolor="#a0a0a0" stroked="f"/>
        </w:pict>
      </w:r>
    </w:p>
    <w:p w14:paraId="24013285" w14:textId="1C6CBE6C" w:rsidR="00186194" w:rsidRDefault="004A5648" w:rsidP="00186194">
      <w:pPr>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 xml:space="preserve">The same is true for child pornography charges – previously, if the defendant was found to be in possession of multiple different images that qualify as child pornography, the defendant could only be </w:t>
      </w:r>
      <w:r>
        <w:rPr>
          <w:rFonts w:ascii="Times New Roman" w:hAnsi="Times New Roman" w:cs="Times New Roman"/>
          <w:b/>
          <w:bCs/>
          <w:i/>
          <w:iCs/>
          <w:sz w:val="28"/>
          <w:szCs w:val="28"/>
        </w:rPr>
        <w:t>convicted</w:t>
      </w:r>
      <w:r>
        <w:rPr>
          <w:rFonts w:ascii="Times New Roman" w:hAnsi="Times New Roman" w:cs="Times New Roman"/>
          <w:sz w:val="28"/>
          <w:szCs w:val="28"/>
        </w:rPr>
        <w:t xml:space="preserve"> of a single count of sexual exploitation of a minor. See </w:t>
      </w:r>
      <w:r>
        <w:rPr>
          <w:rFonts w:ascii="Times New Roman" w:hAnsi="Times New Roman" w:cs="Times New Roman"/>
          <w:i/>
          <w:iCs/>
          <w:sz w:val="28"/>
          <w:szCs w:val="28"/>
        </w:rPr>
        <w:t>Macky v. State</w:t>
      </w:r>
      <w:r>
        <w:rPr>
          <w:rFonts w:ascii="Times New Roman" w:hAnsi="Times New Roman" w:cs="Times New Roman"/>
          <w:sz w:val="28"/>
          <w:szCs w:val="28"/>
        </w:rPr>
        <w:t>.</w:t>
      </w:r>
      <w:r>
        <w:rPr>
          <w:rStyle w:val="EndnoteReference"/>
          <w:rFonts w:ascii="Times New Roman" w:hAnsi="Times New Roman" w:cs="Times New Roman"/>
          <w:sz w:val="28"/>
          <w:szCs w:val="28"/>
        </w:rPr>
        <w:endnoteReference w:id="12"/>
      </w:r>
      <w:r>
        <w:rPr>
          <w:rFonts w:ascii="Times New Roman" w:hAnsi="Times New Roman" w:cs="Times New Roman"/>
          <w:sz w:val="28"/>
          <w:szCs w:val="28"/>
        </w:rPr>
        <w:t xml:space="preserve"> Stated another way, it did not matter if the defendant had one such image or 1,000 – he/she could only be </w:t>
      </w:r>
      <w:r>
        <w:rPr>
          <w:rFonts w:ascii="Times New Roman" w:hAnsi="Times New Roman" w:cs="Times New Roman"/>
          <w:b/>
          <w:bCs/>
          <w:i/>
          <w:iCs/>
          <w:sz w:val="28"/>
          <w:szCs w:val="28"/>
        </w:rPr>
        <w:t>convicted</w:t>
      </w:r>
      <w:r>
        <w:rPr>
          <w:rFonts w:ascii="Times New Roman" w:hAnsi="Times New Roman" w:cs="Times New Roman"/>
          <w:sz w:val="28"/>
          <w:szCs w:val="28"/>
        </w:rPr>
        <w:t xml:space="preserve"> of one offense.</w:t>
      </w:r>
    </w:p>
    <w:p w14:paraId="3FF93429" w14:textId="33A03822" w:rsidR="004A5648" w:rsidRDefault="004A5648" w:rsidP="004A5648">
      <w:pPr>
        <w:spacing w:after="0" w:line="480" w:lineRule="auto"/>
        <w:ind w:left="720"/>
        <w:rPr>
          <w:rFonts w:ascii="Times New Roman" w:hAnsi="Times New Roman" w:cs="Times New Roman"/>
          <w:sz w:val="28"/>
          <w:szCs w:val="28"/>
        </w:rPr>
      </w:pPr>
      <w:r>
        <w:rPr>
          <w:rFonts w:ascii="Times New Roman" w:hAnsi="Times New Roman" w:cs="Times New Roman"/>
          <w:sz w:val="28"/>
          <w:szCs w:val="28"/>
        </w:rPr>
        <w:t xml:space="preserve">Again in 2022, the legislature changed that law (OCGA § 16-12-100) to add a new subsection (b.1) </w:t>
      </w:r>
      <w:r w:rsidRPr="004A5648">
        <w:rPr>
          <w:rFonts w:ascii="Times New Roman" w:hAnsi="Times New Roman" w:cs="Times New Roman"/>
          <w:sz w:val="28"/>
          <w:szCs w:val="28"/>
        </w:rPr>
        <w:t>which had not existed in the prior version of the statute.  Now, subsection b.1 provides, “For any violation of paragraph (5), (6), (7). or (8) of subsection (b) of this Code section involving multiple visual mediums, mediums, or materials, each visual medium, medium, or material connected to such violation shall constitute a separate offense.”</w:t>
      </w:r>
    </w:p>
    <w:p w14:paraId="31E5EB4A" w14:textId="67045562" w:rsidR="004A5648" w:rsidRPr="004A5648" w:rsidRDefault="004A5648" w:rsidP="004A5648">
      <w:pPr>
        <w:spacing w:after="0" w:line="480" w:lineRule="auto"/>
        <w:rPr>
          <w:rFonts w:ascii="Times New Roman" w:hAnsi="Times New Roman" w:cs="Times New Roman"/>
          <w:sz w:val="28"/>
          <w:szCs w:val="28"/>
        </w:rPr>
      </w:pPr>
      <w:r w:rsidRPr="00F63969">
        <w:rPr>
          <w:rFonts w:ascii="Times New Roman" w:hAnsi="Times New Roman" w:cs="Times New Roman"/>
          <w:sz w:val="28"/>
          <w:szCs w:val="28"/>
        </w:rPr>
        <w:pict w14:anchorId="0EF1A2EF">
          <v:rect id="_x0000_i1050" style="width:0;height:1.5pt" o:hralign="center" o:hrstd="t" o:hr="t" fillcolor="#a0a0a0" stroked="f"/>
        </w:pict>
      </w:r>
    </w:p>
    <w:p w14:paraId="7BA1A2C5" w14:textId="7DC7EDE7" w:rsidR="00B81E1D" w:rsidRDefault="004A5648" w:rsidP="004A5648">
      <w:pPr>
        <w:spacing w:after="0" w:line="480" w:lineRule="auto"/>
        <w:rPr>
          <w:rFonts w:ascii="Times New Roman" w:hAnsi="Times New Roman" w:cs="Times New Roman"/>
          <w:sz w:val="28"/>
          <w:szCs w:val="28"/>
        </w:rPr>
      </w:pPr>
      <w:r>
        <w:rPr>
          <w:rFonts w:ascii="Times New Roman" w:hAnsi="Times New Roman" w:cs="Times New Roman"/>
          <w:sz w:val="28"/>
          <w:szCs w:val="28"/>
        </w:rPr>
        <w:t>There are other examples where the legislature has chosen to specifically provide that violations of the statute do not merge under the unit of prosecution rule – a couple come to mind</w:t>
      </w:r>
    </w:p>
    <w:p w14:paraId="38D893A2" w14:textId="26E98300" w:rsidR="004A5648" w:rsidRDefault="004A5648" w:rsidP="004A5648">
      <w:pPr>
        <w:spacing w:after="0" w:line="480" w:lineRule="auto"/>
        <w:ind w:left="720"/>
        <w:rPr>
          <w:rFonts w:ascii="Times New Roman" w:hAnsi="Times New Roman" w:cs="Times New Roman"/>
          <w:sz w:val="28"/>
          <w:szCs w:val="28"/>
        </w:rPr>
      </w:pPr>
      <w:r w:rsidRPr="00592C86">
        <w:rPr>
          <w:rFonts w:ascii="Times New Roman" w:hAnsi="Times New Roman" w:cs="Times New Roman"/>
          <w:b/>
          <w:bCs/>
          <w:sz w:val="28"/>
          <w:szCs w:val="28"/>
        </w:rPr>
        <w:t>DUI (child endangerment</w:t>
      </w:r>
      <w:r w:rsidR="008A0E7F" w:rsidRPr="00592C86">
        <w:rPr>
          <w:rFonts w:ascii="Times New Roman" w:hAnsi="Times New Roman" w:cs="Times New Roman"/>
          <w:b/>
          <w:bCs/>
          <w:sz w:val="28"/>
          <w:szCs w:val="28"/>
        </w:rPr>
        <w:t>-OCGA § 40-6-391 (L</w:t>
      </w:r>
      <w:r w:rsidRPr="00592C86">
        <w:rPr>
          <w:rFonts w:ascii="Times New Roman" w:hAnsi="Times New Roman" w:cs="Times New Roman"/>
          <w:b/>
          <w:bCs/>
          <w:sz w:val="28"/>
          <w:szCs w:val="28"/>
        </w:rPr>
        <w:t>)</w:t>
      </w:r>
      <w:r>
        <w:rPr>
          <w:rFonts w:ascii="Times New Roman" w:hAnsi="Times New Roman" w:cs="Times New Roman"/>
          <w:sz w:val="28"/>
          <w:szCs w:val="28"/>
        </w:rPr>
        <w:t xml:space="preserve"> – the statute specifically provides that if there </w:t>
      </w:r>
      <w:r w:rsidR="008A0E7F">
        <w:rPr>
          <w:rFonts w:ascii="Times New Roman" w:hAnsi="Times New Roman" w:cs="Times New Roman"/>
          <w:sz w:val="28"/>
          <w:szCs w:val="28"/>
        </w:rPr>
        <w:t>is a child under the age of 14 in the car, the separate offense of child endangerment does not merge with the underlying DUI.</w:t>
      </w:r>
      <w:r w:rsidR="00592C86">
        <w:rPr>
          <w:rFonts w:ascii="Times New Roman" w:hAnsi="Times New Roman" w:cs="Times New Roman"/>
          <w:sz w:val="28"/>
          <w:szCs w:val="28"/>
        </w:rPr>
        <w:t xml:space="preserve"> (it </w:t>
      </w:r>
      <w:r w:rsidR="00592C86">
        <w:rPr>
          <w:rFonts w:ascii="Times New Roman" w:hAnsi="Times New Roman" w:cs="Times New Roman"/>
          <w:sz w:val="28"/>
          <w:szCs w:val="28"/>
        </w:rPr>
        <w:lastRenderedPageBreak/>
        <w:t xml:space="preserve">is worth noting here that a sentence for DUI-Child endangerment is NOT 12 months max – see </w:t>
      </w:r>
      <w:r w:rsidR="00592C86">
        <w:rPr>
          <w:rFonts w:ascii="Times New Roman" w:hAnsi="Times New Roman" w:cs="Times New Roman"/>
          <w:i/>
          <w:iCs/>
          <w:sz w:val="28"/>
          <w:szCs w:val="28"/>
        </w:rPr>
        <w:t>Guest v. State</w:t>
      </w:r>
      <w:r w:rsidR="00592C86">
        <w:rPr>
          <w:rFonts w:ascii="Times New Roman" w:hAnsi="Times New Roman" w:cs="Times New Roman"/>
          <w:sz w:val="28"/>
          <w:szCs w:val="28"/>
        </w:rPr>
        <w:t>, 229 Ga. App. 627, 629 (1997))</w:t>
      </w:r>
    </w:p>
    <w:p w14:paraId="04B59575" w14:textId="5A2F5D0A" w:rsidR="00592C86" w:rsidRDefault="00592C86" w:rsidP="004A5648">
      <w:pPr>
        <w:spacing w:after="0" w:line="480" w:lineRule="auto"/>
        <w:ind w:left="720"/>
        <w:rPr>
          <w:rFonts w:ascii="Times New Roman" w:hAnsi="Times New Roman" w:cs="Times New Roman"/>
          <w:sz w:val="28"/>
          <w:szCs w:val="28"/>
        </w:rPr>
      </w:pPr>
      <w:r w:rsidRPr="00592C86">
        <w:rPr>
          <w:rFonts w:ascii="Times New Roman" w:hAnsi="Times New Roman" w:cs="Times New Roman"/>
          <w:b/>
          <w:bCs/>
          <w:sz w:val="28"/>
          <w:szCs w:val="28"/>
        </w:rPr>
        <w:t>Gang activity – OCGA § 16-15-4 (m)</w:t>
      </w:r>
      <w:r>
        <w:rPr>
          <w:rFonts w:ascii="Times New Roman" w:hAnsi="Times New Roman" w:cs="Times New Roman"/>
          <w:sz w:val="28"/>
          <w:szCs w:val="28"/>
        </w:rPr>
        <w:t xml:space="preserve"> provides that any crime committed in violation of the statute shall be considered a separate offense.</w:t>
      </w:r>
    </w:p>
    <w:p w14:paraId="3C7535D5" w14:textId="7D310C95" w:rsidR="00592C86" w:rsidRDefault="00592C86" w:rsidP="00592C86">
      <w:pPr>
        <w:spacing w:after="0" w:line="480" w:lineRule="auto"/>
        <w:rPr>
          <w:rFonts w:ascii="Times New Roman" w:hAnsi="Times New Roman" w:cs="Times New Roman"/>
          <w:sz w:val="28"/>
          <w:szCs w:val="28"/>
        </w:rPr>
      </w:pPr>
      <w:r>
        <w:rPr>
          <w:rFonts w:ascii="Times New Roman" w:hAnsi="Times New Roman" w:cs="Times New Roman"/>
          <w:sz w:val="28"/>
          <w:szCs w:val="28"/>
        </w:rPr>
        <w:t>We are sure there are others where the statute specifically provides that multiple offenses do not merge – but you probably get the point here</w:t>
      </w:r>
    </w:p>
    <w:p w14:paraId="2CD946A1" w14:textId="09D66B68" w:rsidR="00592C86" w:rsidRDefault="00592C86" w:rsidP="00592C86">
      <w:pPr>
        <w:spacing w:after="0" w:line="480" w:lineRule="auto"/>
        <w:ind w:left="720"/>
        <w:rPr>
          <w:rFonts w:ascii="Times New Roman" w:hAnsi="Times New Roman" w:cs="Times New Roman"/>
          <w:sz w:val="28"/>
          <w:szCs w:val="28"/>
        </w:rPr>
      </w:pPr>
      <w:r>
        <w:rPr>
          <w:rFonts w:ascii="Times New Roman" w:hAnsi="Times New Roman" w:cs="Times New Roman"/>
          <w:sz w:val="28"/>
          <w:szCs w:val="28"/>
        </w:rPr>
        <w:t xml:space="preserve">By </w:t>
      </w:r>
      <w:proofErr w:type="spellStart"/>
      <w:r>
        <w:rPr>
          <w:rFonts w:ascii="Times New Roman" w:hAnsi="Times New Roman" w:cs="Times New Roman"/>
          <w:sz w:val="28"/>
          <w:szCs w:val="28"/>
        </w:rPr>
        <w:t>an</w:t>
      </w:r>
      <w:proofErr w:type="spellEnd"/>
      <w:r>
        <w:rPr>
          <w:rFonts w:ascii="Times New Roman" w:hAnsi="Times New Roman" w:cs="Times New Roman"/>
          <w:sz w:val="28"/>
          <w:szCs w:val="28"/>
        </w:rPr>
        <w:t xml:space="preserve"> large, unless the statute which criminalizes the conduct provides that the offenses do not merge (or “constitute separate offenses”), the unit of prosecution rule probably requires that only one </w:t>
      </w:r>
      <w:r w:rsidRPr="00592C86">
        <w:rPr>
          <w:rFonts w:ascii="Times New Roman" w:hAnsi="Times New Roman" w:cs="Times New Roman"/>
          <w:b/>
          <w:bCs/>
          <w:i/>
          <w:iCs/>
          <w:sz w:val="28"/>
          <w:szCs w:val="28"/>
        </w:rPr>
        <w:t>conviction</w:t>
      </w:r>
      <w:r>
        <w:rPr>
          <w:rFonts w:ascii="Times New Roman" w:hAnsi="Times New Roman" w:cs="Times New Roman"/>
          <w:sz w:val="28"/>
          <w:szCs w:val="28"/>
        </w:rPr>
        <w:t xml:space="preserve"> can result</w:t>
      </w:r>
    </w:p>
    <w:p w14:paraId="7509F959" w14:textId="04D61A3B" w:rsidR="001A1379" w:rsidRPr="00592C86" w:rsidRDefault="001A1379" w:rsidP="001A1379">
      <w:pPr>
        <w:spacing w:after="0" w:line="480" w:lineRule="auto"/>
        <w:rPr>
          <w:rFonts w:ascii="Times New Roman" w:hAnsi="Times New Roman" w:cs="Times New Roman"/>
          <w:sz w:val="28"/>
          <w:szCs w:val="28"/>
        </w:rPr>
      </w:pPr>
      <w:r w:rsidRPr="00F63969">
        <w:rPr>
          <w:rFonts w:ascii="Times New Roman" w:hAnsi="Times New Roman" w:cs="Times New Roman"/>
          <w:sz w:val="28"/>
          <w:szCs w:val="28"/>
        </w:rPr>
        <w:pict w14:anchorId="19344209">
          <v:rect id="_x0000_i1052" style="width:0;height:1.5pt" o:hralign="center" o:hrstd="t" o:hr="t" fillcolor="#a0a0a0" stroked="f"/>
        </w:pict>
      </w:r>
    </w:p>
    <w:p w14:paraId="7CDFE145" w14:textId="7F6E714B" w:rsidR="001A1379" w:rsidRDefault="001A1379" w:rsidP="001A1379">
      <w:pPr>
        <w:spacing w:after="0" w:line="480" w:lineRule="auto"/>
        <w:rPr>
          <w:rFonts w:ascii="Times New Roman" w:hAnsi="Times New Roman" w:cs="Times New Roman"/>
          <w:sz w:val="28"/>
          <w:szCs w:val="28"/>
          <w:u w:val="single"/>
        </w:rPr>
      </w:pPr>
      <w:r>
        <w:rPr>
          <w:rFonts w:ascii="Times New Roman" w:hAnsi="Times New Roman" w:cs="Times New Roman"/>
          <w:b/>
          <w:bCs/>
          <w:sz w:val="28"/>
          <w:szCs w:val="28"/>
        </w:rPr>
        <w:t>CONCLUSION</w:t>
      </w:r>
    </w:p>
    <w:p w14:paraId="71CD7324" w14:textId="3336FD1A" w:rsidR="001A1379" w:rsidRDefault="001A1379" w:rsidP="001A1379">
      <w:pPr>
        <w:spacing w:after="0" w:line="480" w:lineRule="auto"/>
        <w:rPr>
          <w:rFonts w:ascii="Times New Roman" w:hAnsi="Times New Roman" w:cs="Times New Roman"/>
          <w:sz w:val="28"/>
          <w:szCs w:val="28"/>
        </w:rPr>
      </w:pPr>
      <w:r>
        <w:rPr>
          <w:rFonts w:ascii="Times New Roman" w:hAnsi="Times New Roman" w:cs="Times New Roman"/>
          <w:sz w:val="28"/>
          <w:szCs w:val="28"/>
        </w:rPr>
        <w:t>Unit of prosecution is a subset of merger – related but not identical</w:t>
      </w:r>
    </w:p>
    <w:p w14:paraId="7EBC0758" w14:textId="797ABDDB" w:rsidR="001A1379" w:rsidRDefault="001A1379" w:rsidP="001A1379">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Biggest difference is whether you are trying to determine whether sentence can be imposed on multiple </w:t>
      </w:r>
      <w:r w:rsidRPr="001A1379">
        <w:rPr>
          <w:rFonts w:ascii="Times New Roman" w:hAnsi="Times New Roman" w:cs="Times New Roman"/>
          <w:b/>
          <w:bCs/>
          <w:sz w:val="28"/>
          <w:szCs w:val="28"/>
        </w:rPr>
        <w:t>different</w:t>
      </w:r>
      <w:r>
        <w:rPr>
          <w:rFonts w:ascii="Times New Roman" w:hAnsi="Times New Roman" w:cs="Times New Roman"/>
          <w:sz w:val="28"/>
          <w:szCs w:val="28"/>
        </w:rPr>
        <w:t xml:space="preserve"> crimes can stand or are you examining multiple charges of the </w:t>
      </w:r>
      <w:r w:rsidRPr="001A1379">
        <w:rPr>
          <w:rFonts w:ascii="Times New Roman" w:hAnsi="Times New Roman" w:cs="Times New Roman"/>
          <w:b/>
          <w:bCs/>
          <w:sz w:val="28"/>
          <w:szCs w:val="28"/>
        </w:rPr>
        <w:t>same</w:t>
      </w:r>
      <w:r>
        <w:rPr>
          <w:rFonts w:ascii="Times New Roman" w:hAnsi="Times New Roman" w:cs="Times New Roman"/>
          <w:sz w:val="28"/>
          <w:szCs w:val="28"/>
        </w:rPr>
        <w:t xml:space="preserve"> crime</w:t>
      </w:r>
    </w:p>
    <w:p w14:paraId="497D1F6E" w14:textId="660F4567" w:rsidR="001A1379" w:rsidRDefault="001A1379" w:rsidP="001A1379">
      <w:pPr>
        <w:spacing w:after="0" w:line="480" w:lineRule="auto"/>
        <w:rPr>
          <w:rFonts w:ascii="Times New Roman" w:hAnsi="Times New Roman" w:cs="Times New Roman"/>
          <w:sz w:val="28"/>
          <w:szCs w:val="28"/>
        </w:rPr>
      </w:pPr>
      <w:r>
        <w:rPr>
          <w:rFonts w:ascii="Times New Roman" w:hAnsi="Times New Roman" w:cs="Times New Roman"/>
          <w:sz w:val="28"/>
          <w:szCs w:val="28"/>
        </w:rPr>
        <w:t>If you are looking at different crimes, use merger</w:t>
      </w:r>
    </w:p>
    <w:p w14:paraId="0BBF5507" w14:textId="33BDD3B0" w:rsidR="001A1379" w:rsidRDefault="001A1379" w:rsidP="001A1379">
      <w:pPr>
        <w:spacing w:after="0" w:line="480" w:lineRule="auto"/>
        <w:rPr>
          <w:rFonts w:ascii="Times New Roman" w:hAnsi="Times New Roman" w:cs="Times New Roman"/>
          <w:sz w:val="28"/>
          <w:szCs w:val="28"/>
        </w:rPr>
      </w:pPr>
      <w:r>
        <w:rPr>
          <w:rFonts w:ascii="Times New Roman" w:hAnsi="Times New Roman" w:cs="Times New Roman"/>
          <w:sz w:val="28"/>
          <w:szCs w:val="28"/>
        </w:rPr>
        <w:t>If you are looking at multiple violations of the same statute, use unit of prosecution</w:t>
      </w:r>
    </w:p>
    <w:p w14:paraId="78A172C7" w14:textId="2C8BCFB3" w:rsidR="001A1379" w:rsidRDefault="001A1379" w:rsidP="001A1379">
      <w:pPr>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If the statute that criminalizes the conduct provides that each violation constitutes a separate offense or similar language, they would not merge under the unit of prosecution analysis</w:t>
      </w:r>
    </w:p>
    <w:p w14:paraId="0C609052" w14:textId="0C7F9863" w:rsidR="00B81E1D" w:rsidRDefault="001A1379" w:rsidP="00890D8B">
      <w:pPr>
        <w:spacing w:after="0" w:line="480" w:lineRule="auto"/>
        <w:rPr>
          <w:rFonts w:ascii="Times New Roman" w:hAnsi="Times New Roman" w:cs="Times New Roman"/>
          <w:sz w:val="28"/>
          <w:szCs w:val="28"/>
        </w:rPr>
      </w:pPr>
      <w:r>
        <w:rPr>
          <w:rFonts w:ascii="Times New Roman" w:hAnsi="Times New Roman" w:cs="Times New Roman"/>
          <w:sz w:val="28"/>
          <w:szCs w:val="28"/>
        </w:rPr>
        <w:t>But if the statute is silent, they likely merge under unit of prosecution</w:t>
      </w:r>
    </w:p>
    <w:p w14:paraId="1DE7D833" w14:textId="77777777" w:rsidR="00B81E1D" w:rsidRPr="00F63969" w:rsidRDefault="00B81E1D" w:rsidP="00B81E1D">
      <w:pPr>
        <w:spacing w:after="0" w:line="480" w:lineRule="auto"/>
        <w:ind w:left="720"/>
        <w:rPr>
          <w:rFonts w:ascii="Times New Roman" w:hAnsi="Times New Roman" w:cs="Times New Roman"/>
          <w:sz w:val="28"/>
          <w:szCs w:val="28"/>
        </w:rPr>
      </w:pPr>
    </w:p>
    <w:p w14:paraId="72B0B76D" w14:textId="7002F22B" w:rsidR="00F53F9A" w:rsidRPr="00F63969" w:rsidRDefault="00F53F9A" w:rsidP="00F63969">
      <w:pPr>
        <w:spacing w:after="0" w:line="480" w:lineRule="auto"/>
        <w:rPr>
          <w:rFonts w:ascii="Times New Roman" w:eastAsia="Times New Roman" w:hAnsi="Times New Roman" w:cs="Times New Roman"/>
          <w:b/>
          <w:bCs/>
          <w:color w:val="000000"/>
          <w:kern w:val="0"/>
          <w:sz w:val="28"/>
          <w:szCs w:val="28"/>
          <w14:ligatures w14:val="none"/>
        </w:rPr>
      </w:pPr>
      <w:r w:rsidRPr="00F63969">
        <w:rPr>
          <w:rFonts w:ascii="Times New Roman" w:eastAsia="Times New Roman" w:hAnsi="Times New Roman" w:cs="Times New Roman"/>
          <w:b/>
          <w:bCs/>
          <w:color w:val="000000"/>
          <w:kern w:val="0"/>
          <w:sz w:val="28"/>
          <w:szCs w:val="28"/>
          <w14:ligatures w14:val="none"/>
        </w:rPr>
        <w:t>Wade: And remember, you can find the case cites and outline of this podcast and others at goodjudgepod.com !</w:t>
      </w:r>
    </w:p>
    <w:p w14:paraId="00DFC0B2" w14:textId="77777777" w:rsidR="00F53F9A" w:rsidRPr="00F63969" w:rsidRDefault="00F53F9A" w:rsidP="00F63969">
      <w:pPr>
        <w:spacing w:line="480" w:lineRule="auto"/>
        <w:rPr>
          <w:rFonts w:ascii="Times New Roman" w:eastAsia="Times New Roman" w:hAnsi="Times New Roman" w:cs="Times New Roman"/>
          <w:b/>
          <w:bCs/>
          <w:color w:val="000000"/>
          <w:kern w:val="0"/>
          <w:sz w:val="28"/>
          <w:szCs w:val="28"/>
          <w14:ligatures w14:val="none"/>
        </w:rPr>
      </w:pPr>
    </w:p>
    <w:p w14:paraId="72752695" w14:textId="229EE605" w:rsidR="00F53F9A" w:rsidRPr="00890D8B" w:rsidRDefault="00F53F9A" w:rsidP="00F63969">
      <w:pPr>
        <w:spacing w:line="480" w:lineRule="auto"/>
        <w:rPr>
          <w:rFonts w:ascii="Times New Roman" w:hAnsi="Times New Roman" w:cs="Times New Roman"/>
          <w:sz w:val="28"/>
          <w:szCs w:val="28"/>
        </w:rPr>
      </w:pPr>
      <w:r w:rsidRPr="00F63969">
        <w:rPr>
          <w:rFonts w:ascii="Times New Roman" w:eastAsia="Times New Roman" w:hAnsi="Times New Roman" w:cs="Times New Roman"/>
          <w:b/>
          <w:bCs/>
          <w:color w:val="000000"/>
          <w:kern w:val="0"/>
          <w:sz w:val="28"/>
          <w:szCs w:val="28"/>
          <w:u w:val="single"/>
          <w14:ligatures w14:val="none"/>
        </w:rPr>
        <w:t>MUSIC TRIVIA</w:t>
      </w:r>
      <w:r w:rsidR="00890D8B">
        <w:rPr>
          <w:rFonts w:ascii="Times New Roman" w:eastAsia="Times New Roman" w:hAnsi="Times New Roman" w:cs="Times New Roman"/>
          <w:color w:val="000000"/>
          <w:kern w:val="0"/>
          <w:sz w:val="28"/>
          <w:szCs w:val="28"/>
          <w14:ligatures w14:val="none"/>
        </w:rPr>
        <w:t xml:space="preserve"> (use prerecorded)</w:t>
      </w:r>
    </w:p>
    <w:sectPr w:rsidR="00F53F9A" w:rsidRPr="00890D8B" w:rsidSect="00F63969">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E0467" w14:textId="77777777" w:rsidR="00BB08B3" w:rsidRDefault="00BB08B3" w:rsidP="00F63969">
      <w:pPr>
        <w:spacing w:after="0" w:line="240" w:lineRule="auto"/>
      </w:pPr>
      <w:r>
        <w:separator/>
      </w:r>
    </w:p>
  </w:endnote>
  <w:endnote w:type="continuationSeparator" w:id="0">
    <w:p w14:paraId="525864CC" w14:textId="77777777" w:rsidR="00BB08B3" w:rsidRDefault="00BB08B3" w:rsidP="00F63969">
      <w:pPr>
        <w:spacing w:after="0" w:line="240" w:lineRule="auto"/>
      </w:pPr>
      <w:r>
        <w:continuationSeparator/>
      </w:r>
    </w:p>
  </w:endnote>
  <w:endnote w:id="1">
    <w:p w14:paraId="46299174" w14:textId="14BD0FEF" w:rsidR="00F63969" w:rsidRDefault="00F63969">
      <w:pPr>
        <w:pStyle w:val="EndnoteText"/>
      </w:pPr>
      <w:r>
        <w:rPr>
          <w:rStyle w:val="EndnoteReference"/>
        </w:rPr>
        <w:endnoteRef/>
      </w:r>
      <w:r>
        <w:t xml:space="preserve"> </w:t>
      </w:r>
      <w:r>
        <w:t xml:space="preserve">Double jeopardy is also addressed in the Georgia Constitution, Art. 1, § 1, </w:t>
      </w:r>
      <w:r>
        <w:rPr>
          <w:rFonts w:ascii="Arial" w:hAnsi="Arial" w:cs="Arial"/>
        </w:rPr>
        <w:t>¶</w:t>
      </w:r>
      <w:r>
        <w:t xml:space="preserve"> XVIII.  The concept of merger can be found in O.C.G.A. § 16-1-7.  Therefore, some treatises refer to “merger” as Georgia’s “substantive statutory double jeopardy” law because it appears in Georgia’s statutes.</w:t>
      </w:r>
    </w:p>
  </w:endnote>
  <w:endnote w:id="2">
    <w:p w14:paraId="7AAAD5CC" w14:textId="77777777" w:rsidR="003F13B5" w:rsidRPr="003F13B5" w:rsidRDefault="003F13B5" w:rsidP="003F13B5">
      <w:pPr>
        <w:pStyle w:val="EndnoteText"/>
        <w:rPr>
          <w:b/>
          <w:bCs/>
        </w:rPr>
      </w:pPr>
      <w:r>
        <w:rPr>
          <w:rStyle w:val="EndnoteReference"/>
        </w:rPr>
        <w:endnoteRef/>
      </w:r>
      <w:r>
        <w:t xml:space="preserve"> </w:t>
      </w:r>
      <w:r w:rsidRPr="003F13B5">
        <w:rPr>
          <w:b/>
          <w:bCs/>
        </w:rPr>
        <w:t>RULE 1-</w:t>
      </w:r>
      <w:r w:rsidRPr="003F13B5">
        <w:rPr>
          <w:b/>
          <w:bCs/>
        </w:rPr>
        <w:tab/>
        <w:t>MERGER ONLY APPLIES TO CONVICTIONS (this includes guilty pleas)</w:t>
      </w:r>
    </w:p>
    <w:p w14:paraId="06D8E05C" w14:textId="1D23A292" w:rsidR="003F13B5" w:rsidRPr="003F13B5" w:rsidRDefault="003F13B5" w:rsidP="003F13B5">
      <w:pPr>
        <w:pStyle w:val="EndnoteText"/>
        <w:rPr>
          <w:b/>
          <w:bCs/>
        </w:rPr>
      </w:pPr>
      <w:r w:rsidRPr="003F13B5">
        <w:rPr>
          <w:b/>
          <w:bCs/>
        </w:rPr>
        <w:t xml:space="preserve">RULE 2- </w:t>
      </w:r>
      <w:r w:rsidRPr="003F13B5">
        <w:rPr>
          <w:b/>
          <w:bCs/>
        </w:rPr>
        <w:tab/>
        <w:t>THERE ARE SOME HARD AND FAST RULES</w:t>
      </w:r>
    </w:p>
    <w:p w14:paraId="4923D69A" w14:textId="77777777" w:rsidR="003F13B5" w:rsidRPr="003F13B5" w:rsidRDefault="003F13B5" w:rsidP="003F13B5">
      <w:pPr>
        <w:pStyle w:val="EndnoteText"/>
        <w:ind w:left="1440" w:hanging="1440"/>
        <w:rPr>
          <w:b/>
          <w:bCs/>
        </w:rPr>
      </w:pPr>
      <w:r w:rsidRPr="003F13B5">
        <w:rPr>
          <w:b/>
          <w:bCs/>
        </w:rPr>
        <w:t xml:space="preserve">RULE 3- </w:t>
      </w:r>
      <w:r w:rsidRPr="003F13B5">
        <w:rPr>
          <w:b/>
          <w:bCs/>
        </w:rPr>
        <w:tab/>
        <w:t>START MERGER ANALYSIS BY LOOKING AT THE QUESTION OF WHETHER THERE WAS A DELIBERATE INTERVAL BETWEEN THE DEFENDANT’S ACTIONS</w:t>
      </w:r>
    </w:p>
    <w:p w14:paraId="7EECC016" w14:textId="77777777" w:rsidR="003F13B5" w:rsidRPr="003F13B5" w:rsidRDefault="003F13B5" w:rsidP="003F13B5">
      <w:pPr>
        <w:pStyle w:val="EndnoteText"/>
        <w:rPr>
          <w:b/>
          <w:bCs/>
        </w:rPr>
      </w:pPr>
      <w:r w:rsidRPr="003F13B5">
        <w:rPr>
          <w:b/>
          <w:bCs/>
        </w:rPr>
        <w:t>RULE 4-</w:t>
      </w:r>
      <w:r w:rsidRPr="003F13B5">
        <w:rPr>
          <w:b/>
          <w:bCs/>
        </w:rPr>
        <w:tab/>
        <w:t>APPLY THE REQUIRED EVIDENCE TEST</w:t>
      </w:r>
    </w:p>
    <w:p w14:paraId="5B920CA5" w14:textId="77777777" w:rsidR="003F13B5" w:rsidRPr="003F13B5" w:rsidRDefault="003F13B5" w:rsidP="003F13B5">
      <w:pPr>
        <w:pStyle w:val="EndnoteText"/>
        <w:rPr>
          <w:b/>
          <w:bCs/>
        </w:rPr>
      </w:pPr>
      <w:r w:rsidRPr="003F13B5">
        <w:rPr>
          <w:b/>
          <w:bCs/>
        </w:rPr>
        <w:t>RULE 5-</w:t>
      </w:r>
      <w:r w:rsidRPr="003F13B5">
        <w:rPr>
          <w:b/>
          <w:bCs/>
        </w:rPr>
        <w:tab/>
        <w:t>THE MODIFIED MERGER RULE</w:t>
      </w:r>
    </w:p>
    <w:p w14:paraId="10D15996" w14:textId="0CFBEB23" w:rsidR="003F13B5" w:rsidRDefault="003F13B5" w:rsidP="003F13B5">
      <w:pPr>
        <w:pStyle w:val="EndnoteText"/>
      </w:pPr>
      <w:r w:rsidRPr="003F13B5">
        <w:rPr>
          <w:b/>
          <w:bCs/>
        </w:rPr>
        <w:t>RULE 6-</w:t>
      </w:r>
      <w:r w:rsidRPr="003F13B5">
        <w:rPr>
          <w:b/>
          <w:bCs/>
        </w:rPr>
        <w:tab/>
        <w:t>UNIT OF PROSECUTION</w:t>
      </w:r>
    </w:p>
  </w:endnote>
  <w:endnote w:id="3">
    <w:p w14:paraId="4873D4D2" w14:textId="0247D6F4" w:rsidR="00B81E1D" w:rsidRPr="00DF2844" w:rsidRDefault="00B81E1D">
      <w:pPr>
        <w:pStyle w:val="EndnoteText"/>
      </w:pPr>
      <w:r>
        <w:rPr>
          <w:rStyle w:val="EndnoteReference"/>
        </w:rPr>
        <w:endnoteRef/>
      </w:r>
      <w:r>
        <w:t xml:space="preserve"> </w:t>
      </w:r>
      <w:r w:rsidR="00DF2844">
        <w:rPr>
          <w:i/>
          <w:iCs/>
        </w:rPr>
        <w:t>State v. Shropshire</w:t>
      </w:r>
      <w:r w:rsidR="00DF2844">
        <w:t>, 318 Ga. 14, 15-16 (2023).</w:t>
      </w:r>
    </w:p>
  </w:endnote>
  <w:endnote w:id="4">
    <w:p w14:paraId="451E31B3" w14:textId="77777777" w:rsidR="00186194" w:rsidRPr="00831F62" w:rsidRDefault="00186194" w:rsidP="00186194">
      <w:pPr>
        <w:pStyle w:val="EndnoteText"/>
      </w:pPr>
      <w:r>
        <w:rPr>
          <w:rStyle w:val="EndnoteReference"/>
        </w:rPr>
        <w:endnoteRef/>
      </w:r>
      <w:r>
        <w:t xml:space="preserve"> </w:t>
      </w:r>
      <w:r>
        <w:rPr>
          <w:i/>
          <w:iCs/>
        </w:rPr>
        <w:t>Hogg v. State</w:t>
      </w:r>
      <w:r>
        <w:t xml:space="preserve">, 356 Ga. App. 11, 16 (2020), quoting </w:t>
      </w:r>
      <w:r>
        <w:rPr>
          <w:i/>
          <w:iCs/>
        </w:rPr>
        <w:t>Busby v. State</w:t>
      </w:r>
      <w:r>
        <w:t>, 332 Ga. App. 646, 650 (2015) (“</w:t>
      </w:r>
      <w:r w:rsidRPr="00831F62">
        <w:t>Typically, the question is whether the same conduct may be punished under different criminal statutes. In that situation, it is appropriate to apply the ‘required evidence’ test[;] [h]</w:t>
      </w:r>
      <w:proofErr w:type="spellStart"/>
      <w:r w:rsidRPr="00831F62">
        <w:t>owever</w:t>
      </w:r>
      <w:proofErr w:type="spellEnd"/>
      <w:r w:rsidRPr="00831F62">
        <w:t>, a different question is presented here: whether a course of conduct can result in multiple violations of the same statute[, which] requires a determination of the ‘unit of prosecution....’”)</w:t>
      </w:r>
      <w:r>
        <w:t>.</w:t>
      </w:r>
    </w:p>
  </w:endnote>
  <w:endnote w:id="5">
    <w:p w14:paraId="3054B849" w14:textId="2CEEA195" w:rsidR="00DF2844" w:rsidRPr="00DF2844" w:rsidRDefault="00DF2844">
      <w:pPr>
        <w:pStyle w:val="EndnoteText"/>
      </w:pPr>
      <w:r>
        <w:rPr>
          <w:rStyle w:val="EndnoteReference"/>
        </w:rPr>
        <w:endnoteRef/>
      </w:r>
      <w:r>
        <w:t xml:space="preserve"> </w:t>
      </w:r>
      <w:r>
        <w:rPr>
          <w:i/>
          <w:iCs/>
        </w:rPr>
        <w:t>Taylor v. State</w:t>
      </w:r>
      <w:r>
        <w:t>, 374 Ga. App. 126, 133 (2025).</w:t>
      </w:r>
    </w:p>
  </w:endnote>
  <w:endnote w:id="6">
    <w:p w14:paraId="285E98C4" w14:textId="65035ACA" w:rsidR="00956F9C" w:rsidRPr="00956F9C" w:rsidRDefault="00956F9C">
      <w:pPr>
        <w:pStyle w:val="EndnoteText"/>
      </w:pPr>
      <w:r>
        <w:rPr>
          <w:rStyle w:val="EndnoteReference"/>
        </w:rPr>
        <w:endnoteRef/>
      </w:r>
      <w:r>
        <w:t xml:space="preserve"> </w:t>
      </w:r>
      <w:r>
        <w:rPr>
          <w:i/>
          <w:iCs/>
        </w:rPr>
        <w:t>Johnson v. State</w:t>
      </w:r>
      <w:r>
        <w:t>, 313 Ga. 155, 159 (2022).</w:t>
      </w:r>
    </w:p>
  </w:endnote>
  <w:endnote w:id="7">
    <w:p w14:paraId="3C3EE414" w14:textId="77777777" w:rsidR="00186194" w:rsidRPr="00C103A2" w:rsidRDefault="00186194" w:rsidP="00186194">
      <w:pPr>
        <w:pStyle w:val="EndnoteText"/>
      </w:pPr>
      <w:r>
        <w:rPr>
          <w:rStyle w:val="EndnoteReference"/>
        </w:rPr>
        <w:endnoteRef/>
      </w:r>
      <w:r>
        <w:t xml:space="preserve"> </w:t>
      </w:r>
      <w:r>
        <w:rPr>
          <w:i/>
          <w:iCs/>
        </w:rPr>
        <w:t>Haynes v. State</w:t>
      </w:r>
      <w:r>
        <w:t xml:space="preserve">, 356 Ga. App. 631, 644 (2020) (“this holding comports with the unit of prosecution analysis applicable when a defendant is charged with multiple counts of the same crime, given that the unit of prosecution is the robbery of a person, regardless of how many items are taken”); </w:t>
      </w:r>
      <w:r w:rsidRPr="00205A78">
        <w:rPr>
          <w:i/>
        </w:rPr>
        <w:t>Jernigan v. State</w:t>
      </w:r>
      <w:r w:rsidRPr="00205A78">
        <w:t>, 333 Ga. App. 339, 342 (2015).</w:t>
      </w:r>
    </w:p>
  </w:endnote>
  <w:endnote w:id="8">
    <w:p w14:paraId="613463F1" w14:textId="77777777" w:rsidR="00186194" w:rsidRDefault="00186194" w:rsidP="00186194">
      <w:pPr>
        <w:pStyle w:val="EndnoteText"/>
      </w:pPr>
      <w:r>
        <w:rPr>
          <w:rStyle w:val="EndnoteReference"/>
        </w:rPr>
        <w:endnoteRef/>
      </w:r>
      <w:r>
        <w:t xml:space="preserve"> </w:t>
      </w:r>
      <w:r w:rsidRPr="00335FA7">
        <w:rPr>
          <w:i/>
          <w:iCs/>
        </w:rPr>
        <w:t>Coates v. State</w:t>
      </w:r>
      <w:r w:rsidRPr="00335FA7">
        <w:t>, 304 Ga. 329 (2018).</w:t>
      </w:r>
    </w:p>
  </w:endnote>
  <w:endnote w:id="9">
    <w:p w14:paraId="31EAFA4E" w14:textId="77777777" w:rsidR="00186194" w:rsidRPr="00F84435" w:rsidRDefault="00186194" w:rsidP="00186194">
      <w:pPr>
        <w:pStyle w:val="EndnoteText"/>
      </w:pPr>
      <w:r>
        <w:rPr>
          <w:rStyle w:val="EndnoteReference"/>
        </w:rPr>
        <w:endnoteRef/>
      </w:r>
      <w:r>
        <w:t xml:space="preserve"> </w:t>
      </w:r>
      <w:r>
        <w:rPr>
          <w:i/>
          <w:iCs/>
        </w:rPr>
        <w:t>Outler v. State</w:t>
      </w:r>
      <w:r>
        <w:t xml:space="preserve">, 305 Ga. 701, 704-705 (2019) (multiple underlying felonies); </w:t>
      </w:r>
      <w:r>
        <w:rPr>
          <w:i/>
          <w:iCs/>
        </w:rPr>
        <w:t>Miller v. State</w:t>
      </w:r>
      <w:r>
        <w:t>, __ Ga. __, 864 S.E.2d 451 (2021) (multiple weapons – involved both possession of firearm during a crime and possession of a firearm by a convicted felon).</w:t>
      </w:r>
    </w:p>
  </w:endnote>
  <w:endnote w:id="10">
    <w:p w14:paraId="1E914F71" w14:textId="77777777" w:rsidR="00186194" w:rsidRPr="00B74681" w:rsidRDefault="00186194" w:rsidP="00186194">
      <w:pPr>
        <w:pStyle w:val="EndnoteText"/>
      </w:pPr>
      <w:r>
        <w:rPr>
          <w:rStyle w:val="EndnoteReference"/>
        </w:rPr>
        <w:endnoteRef/>
      </w:r>
      <w:r>
        <w:t xml:space="preserve"> </w:t>
      </w:r>
      <w:r>
        <w:rPr>
          <w:i/>
          <w:iCs/>
        </w:rPr>
        <w:t>State v. Marlowe</w:t>
      </w:r>
      <w:r>
        <w:t xml:space="preserve">, 277 Ga. 383, 386 (2003); </w:t>
      </w:r>
      <w:r>
        <w:rPr>
          <w:i/>
          <w:iCs/>
        </w:rPr>
        <w:t>State v. Stovall</w:t>
      </w:r>
      <w:r>
        <w:t>, 287 Ga. 415, 421 (2010) (“</w:t>
      </w:r>
      <w:r w:rsidRPr="00B74681">
        <w:t>where multiple crimes are committed together during the course of one continuous crime spree, a defendant may be convicted once for possession of a firearm during the commission of a crime as to every individual victim of the crime spree, as provided under OCGA § 16–11–106(b)(1)....”</w:t>
      </w:r>
      <w:r>
        <w:t xml:space="preserve">); </w:t>
      </w:r>
      <w:r>
        <w:rPr>
          <w:i/>
          <w:iCs/>
        </w:rPr>
        <w:t>Gutierrez v. State</w:t>
      </w:r>
      <w:r>
        <w:t>, 285 Ga. 878 (2009) (three victims of the underlying felony offenses resulted in three charges of possession of a firearm during commission of a crime).</w:t>
      </w:r>
    </w:p>
  </w:endnote>
  <w:endnote w:id="11">
    <w:p w14:paraId="7794BCF0" w14:textId="099268BA" w:rsidR="003F13B5" w:rsidRPr="003F13B5" w:rsidRDefault="003F13B5">
      <w:pPr>
        <w:pStyle w:val="EndnoteText"/>
      </w:pPr>
      <w:r>
        <w:rPr>
          <w:rStyle w:val="EndnoteReference"/>
        </w:rPr>
        <w:endnoteRef/>
      </w:r>
      <w:r>
        <w:t xml:space="preserve"> </w:t>
      </w:r>
      <w:r>
        <w:rPr>
          <w:i/>
          <w:iCs/>
        </w:rPr>
        <w:t>Scott v. State</w:t>
      </w:r>
      <w:r>
        <w:t>, 356 Ga. App. 152, 162-163 (2020).</w:t>
      </w:r>
    </w:p>
  </w:endnote>
  <w:endnote w:id="12">
    <w:p w14:paraId="70B586A6" w14:textId="72AB14C2" w:rsidR="004A5648" w:rsidRDefault="004A5648">
      <w:pPr>
        <w:pStyle w:val="EndnoteText"/>
      </w:pPr>
      <w:r>
        <w:rPr>
          <w:rStyle w:val="EndnoteReference"/>
        </w:rPr>
        <w:endnoteRef/>
      </w:r>
      <w:r>
        <w:t xml:space="preserve"> </w:t>
      </w:r>
      <w:r w:rsidRPr="004A5648">
        <w:rPr>
          <w:rFonts w:eastAsia="Calibri" w:cs="Times New Roman"/>
          <w:i/>
          <w:iCs/>
          <w:kern w:val="0"/>
          <w:szCs w:val="24"/>
          <w14:ligatures w14:val="none"/>
        </w:rPr>
        <w:t>Edvalson v. State</w:t>
      </w:r>
      <w:r w:rsidRPr="004A5648">
        <w:rPr>
          <w:rFonts w:eastAsia="Calibri" w:cs="Times New Roman"/>
          <w:kern w:val="0"/>
          <w:szCs w:val="24"/>
          <w14:ligatures w14:val="none"/>
        </w:rPr>
        <w:t xml:space="preserve">, 310 Ga. 7 (2020); </w:t>
      </w:r>
      <w:r w:rsidRPr="004A5648">
        <w:rPr>
          <w:rFonts w:eastAsia="Calibri" w:cs="Times New Roman"/>
          <w:i/>
          <w:iCs/>
          <w:kern w:val="0"/>
          <w:szCs w:val="24"/>
          <w14:ligatures w14:val="none"/>
        </w:rPr>
        <w:t>Macky v. State</w:t>
      </w:r>
      <w:r w:rsidRPr="004A5648">
        <w:rPr>
          <w:rFonts w:eastAsia="Calibri" w:cs="Times New Roman"/>
          <w:kern w:val="0"/>
          <w:szCs w:val="24"/>
          <w14:ligatures w14:val="none"/>
        </w:rPr>
        <w:t xml:space="preserve">, 360 Ga. App. 189 (2021); </w:t>
      </w:r>
      <w:r w:rsidRPr="004A5648">
        <w:rPr>
          <w:rFonts w:eastAsia="Calibri" w:cs="Times New Roman"/>
          <w:i/>
          <w:iCs/>
          <w:kern w:val="0"/>
          <w:szCs w:val="24"/>
          <w14:ligatures w14:val="none"/>
        </w:rPr>
        <w:t>McCurdy v. State</w:t>
      </w:r>
      <w:r w:rsidRPr="004A5648">
        <w:rPr>
          <w:rFonts w:eastAsia="Calibri" w:cs="Times New Roman"/>
          <w:kern w:val="0"/>
          <w:szCs w:val="24"/>
          <w14:ligatures w14:val="none"/>
        </w:rPr>
        <w:t>, 359 Ga. App. 885, 890-891 (2021).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4C68B" w14:textId="77777777" w:rsidR="00F63969" w:rsidRDefault="00F63969" w:rsidP="00F63969">
    <w:pPr>
      <w:pStyle w:val="Footer"/>
      <w:jc w:val="center"/>
      <w:rPr>
        <w:rFonts w:ascii="Times New Roman" w:hAnsi="Times New Roman" w:cs="Times New Roman"/>
        <w:b/>
        <w:bCs/>
      </w:rPr>
    </w:pPr>
  </w:p>
  <w:p w14:paraId="5F1B7B34" w14:textId="0617EC66" w:rsidR="00F63969" w:rsidRDefault="00F63969" w:rsidP="00F63969">
    <w:pPr>
      <w:pStyle w:val="Footer"/>
      <w:jc w:val="center"/>
      <w:rPr>
        <w:rFonts w:ascii="Times New Roman" w:hAnsi="Times New Roman" w:cs="Times New Roman"/>
        <w:b/>
        <w:bCs/>
      </w:rPr>
    </w:pPr>
    <w:r>
      <w:rPr>
        <w:rFonts w:ascii="Times New Roman" w:hAnsi="Times New Roman" w:cs="Times New Roman"/>
        <w:b/>
        <w:bCs/>
      </w:rPr>
      <w:t>Unit of Prosecution</w:t>
    </w:r>
  </w:p>
  <w:p w14:paraId="16B7EDB3" w14:textId="6D4D00E1" w:rsidR="00F63969" w:rsidRDefault="00F63969" w:rsidP="00F63969">
    <w:pPr>
      <w:pStyle w:val="Footer"/>
      <w:jc w:val="center"/>
      <w:rPr>
        <w:rFonts w:ascii="Times New Roman" w:hAnsi="Times New Roman" w:cs="Times New Roman"/>
        <w:b/>
        <w:bCs/>
      </w:rPr>
    </w:pPr>
    <w:r>
      <w:rPr>
        <w:rFonts w:ascii="Times New Roman" w:hAnsi="Times New Roman" w:cs="Times New Roman"/>
        <w:b/>
        <w:bCs/>
      </w:rPr>
      <w:t>Recorded 9/23/2025</w:t>
    </w:r>
  </w:p>
  <w:p w14:paraId="143B90B6" w14:textId="45449CBD" w:rsidR="00F63969" w:rsidRDefault="00F63969" w:rsidP="00F63969">
    <w:pPr>
      <w:pStyle w:val="Footer"/>
      <w:jc w:val="center"/>
      <w:rPr>
        <w:rFonts w:ascii="Times New Roman" w:hAnsi="Times New Roman" w:cs="Times New Roman"/>
        <w:b/>
        <w:bCs/>
      </w:rPr>
    </w:pPr>
    <w:r>
      <w:rPr>
        <w:rFonts w:ascii="Times New Roman" w:hAnsi="Times New Roman" w:cs="Times New Roman"/>
        <w:b/>
        <w:bCs/>
      </w:rPr>
      <w:t xml:space="preserve">Page </w:t>
    </w:r>
    <w:r>
      <w:rPr>
        <w:rFonts w:ascii="Times New Roman" w:hAnsi="Times New Roman" w:cs="Times New Roman"/>
        <w:b/>
        <w:bCs/>
      </w:rPr>
      <w:fldChar w:fldCharType="begin"/>
    </w:r>
    <w:r>
      <w:rPr>
        <w:rFonts w:ascii="Times New Roman" w:hAnsi="Times New Roman" w:cs="Times New Roman"/>
        <w:b/>
        <w:bCs/>
      </w:rPr>
      <w:instrText xml:space="preserve"> PAGE  \* Arabic  \* MERGEFORMAT </w:instrText>
    </w:r>
    <w:r>
      <w:rPr>
        <w:rFonts w:ascii="Times New Roman" w:hAnsi="Times New Roman" w:cs="Times New Roman"/>
        <w:b/>
        <w:bCs/>
      </w:rPr>
      <w:fldChar w:fldCharType="separate"/>
    </w:r>
    <w:r>
      <w:rPr>
        <w:rFonts w:ascii="Times New Roman" w:hAnsi="Times New Roman" w:cs="Times New Roman"/>
        <w:b/>
        <w:bCs/>
        <w:noProof/>
      </w:rPr>
      <w:t>1</w:t>
    </w:r>
    <w:r>
      <w:rPr>
        <w:rFonts w:ascii="Times New Roman" w:hAnsi="Times New Roman" w:cs="Times New Roman"/>
        <w:b/>
        <w:bCs/>
      </w:rPr>
      <w:fldChar w:fldCharType="end"/>
    </w:r>
    <w:r>
      <w:rPr>
        <w:rFonts w:ascii="Times New Roman" w:hAnsi="Times New Roman" w:cs="Times New Roman"/>
        <w:b/>
        <w:bCs/>
      </w:rPr>
      <w:t xml:space="preserve"> of </w:t>
    </w:r>
    <w:r>
      <w:rPr>
        <w:rFonts w:ascii="Times New Roman" w:hAnsi="Times New Roman" w:cs="Times New Roman"/>
        <w:b/>
        <w:bCs/>
      </w:rPr>
      <w:fldChar w:fldCharType="begin"/>
    </w:r>
    <w:r>
      <w:rPr>
        <w:rFonts w:ascii="Times New Roman" w:hAnsi="Times New Roman" w:cs="Times New Roman"/>
        <w:b/>
        <w:bCs/>
      </w:rPr>
      <w:instrText xml:space="preserve"> NUMPAGES  \* Arabic  \* MERGEFORMAT </w:instrText>
    </w:r>
    <w:r>
      <w:rPr>
        <w:rFonts w:ascii="Times New Roman" w:hAnsi="Times New Roman" w:cs="Times New Roman"/>
        <w:b/>
        <w:bCs/>
      </w:rPr>
      <w:fldChar w:fldCharType="separate"/>
    </w:r>
    <w:r>
      <w:rPr>
        <w:rFonts w:ascii="Times New Roman" w:hAnsi="Times New Roman" w:cs="Times New Roman"/>
        <w:b/>
        <w:bCs/>
        <w:noProof/>
      </w:rPr>
      <w:t>2</w:t>
    </w:r>
    <w:r>
      <w:rPr>
        <w:rFonts w:ascii="Times New Roman" w:hAnsi="Times New Roman" w:cs="Times New Roman"/>
        <w:b/>
        <w:bCs/>
      </w:rPr>
      <w:fldChar w:fldCharType="end"/>
    </w:r>
  </w:p>
  <w:p w14:paraId="01E9EC39" w14:textId="77777777" w:rsidR="00F63969" w:rsidRPr="00F63969" w:rsidRDefault="00F63969" w:rsidP="00F63969">
    <w:pPr>
      <w:pStyle w:val="Footer"/>
      <w:jc w:val="center"/>
      <w:rPr>
        <w:rFonts w:ascii="Times New Roman" w:hAnsi="Times New Roman" w:cs="Times New Roman"/>
        <w:b/>
        <w:bCs/>
      </w:rPr>
    </w:pPr>
  </w:p>
  <w:p w14:paraId="6993D53E" w14:textId="77777777" w:rsidR="00F63969" w:rsidRDefault="00F63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E0502" w14:textId="77777777" w:rsidR="00BB08B3" w:rsidRDefault="00BB08B3" w:rsidP="00F63969">
      <w:pPr>
        <w:spacing w:after="0" w:line="240" w:lineRule="auto"/>
      </w:pPr>
      <w:r>
        <w:separator/>
      </w:r>
    </w:p>
  </w:footnote>
  <w:footnote w:type="continuationSeparator" w:id="0">
    <w:p w14:paraId="341E9626" w14:textId="77777777" w:rsidR="00BB08B3" w:rsidRDefault="00BB08B3" w:rsidP="00F639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0EB9"/>
    <w:multiLevelType w:val="multilevel"/>
    <w:tmpl w:val="E0CC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6E0F00"/>
    <w:multiLevelType w:val="multilevel"/>
    <w:tmpl w:val="2ADA4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502268"/>
    <w:multiLevelType w:val="multilevel"/>
    <w:tmpl w:val="433A6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222876">
    <w:abstractNumId w:val="1"/>
  </w:num>
  <w:num w:numId="2" w16cid:durableId="1938753318">
    <w:abstractNumId w:val="2"/>
  </w:num>
  <w:num w:numId="3" w16cid:durableId="1800489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E5D"/>
    <w:rsid w:val="000368EC"/>
    <w:rsid w:val="00085D8B"/>
    <w:rsid w:val="000C3539"/>
    <w:rsid w:val="00153738"/>
    <w:rsid w:val="00186194"/>
    <w:rsid w:val="001A1379"/>
    <w:rsid w:val="00280B28"/>
    <w:rsid w:val="003C7724"/>
    <w:rsid w:val="003F13B5"/>
    <w:rsid w:val="004A5648"/>
    <w:rsid w:val="00592C86"/>
    <w:rsid w:val="00827E5D"/>
    <w:rsid w:val="00890D8B"/>
    <w:rsid w:val="008A0E7F"/>
    <w:rsid w:val="00937122"/>
    <w:rsid w:val="00940EB1"/>
    <w:rsid w:val="00956F9C"/>
    <w:rsid w:val="00991BCC"/>
    <w:rsid w:val="00A276B6"/>
    <w:rsid w:val="00AE0FA2"/>
    <w:rsid w:val="00B325EE"/>
    <w:rsid w:val="00B81E1D"/>
    <w:rsid w:val="00BB08B3"/>
    <w:rsid w:val="00D17DC7"/>
    <w:rsid w:val="00DF2844"/>
    <w:rsid w:val="00E315BE"/>
    <w:rsid w:val="00F53F9A"/>
    <w:rsid w:val="00F56DAF"/>
    <w:rsid w:val="00F63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8FACC"/>
  <w15:chartTrackingRefBased/>
  <w15:docId w15:val="{81FA1BED-7488-6447-B190-486EB67CB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14"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E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E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E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E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E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E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E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E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E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E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E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E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E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E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E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E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E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E5D"/>
    <w:rPr>
      <w:rFonts w:eastAsiaTheme="majorEastAsia" w:cstheme="majorBidi"/>
      <w:color w:val="272727" w:themeColor="text1" w:themeTint="D8"/>
    </w:rPr>
  </w:style>
  <w:style w:type="paragraph" w:styleId="Title">
    <w:name w:val="Title"/>
    <w:basedOn w:val="Normal"/>
    <w:next w:val="Normal"/>
    <w:link w:val="TitleChar"/>
    <w:uiPriority w:val="10"/>
    <w:qFormat/>
    <w:rsid w:val="00827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E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E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E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E5D"/>
    <w:pPr>
      <w:spacing w:before="160"/>
      <w:jc w:val="center"/>
    </w:pPr>
    <w:rPr>
      <w:i/>
      <w:iCs/>
      <w:color w:val="404040" w:themeColor="text1" w:themeTint="BF"/>
    </w:rPr>
  </w:style>
  <w:style w:type="character" w:customStyle="1" w:styleId="QuoteChar">
    <w:name w:val="Quote Char"/>
    <w:basedOn w:val="DefaultParagraphFont"/>
    <w:link w:val="Quote"/>
    <w:uiPriority w:val="29"/>
    <w:rsid w:val="00827E5D"/>
    <w:rPr>
      <w:i/>
      <w:iCs/>
      <w:color w:val="404040" w:themeColor="text1" w:themeTint="BF"/>
    </w:rPr>
  </w:style>
  <w:style w:type="paragraph" w:styleId="ListParagraph">
    <w:name w:val="List Paragraph"/>
    <w:basedOn w:val="Normal"/>
    <w:uiPriority w:val="34"/>
    <w:qFormat/>
    <w:rsid w:val="00827E5D"/>
    <w:pPr>
      <w:ind w:left="720"/>
      <w:contextualSpacing/>
    </w:pPr>
  </w:style>
  <w:style w:type="character" w:styleId="IntenseEmphasis">
    <w:name w:val="Intense Emphasis"/>
    <w:basedOn w:val="DefaultParagraphFont"/>
    <w:uiPriority w:val="21"/>
    <w:qFormat/>
    <w:rsid w:val="00827E5D"/>
    <w:rPr>
      <w:i/>
      <w:iCs/>
      <w:color w:val="0F4761" w:themeColor="accent1" w:themeShade="BF"/>
    </w:rPr>
  </w:style>
  <w:style w:type="paragraph" w:styleId="IntenseQuote">
    <w:name w:val="Intense Quote"/>
    <w:basedOn w:val="Normal"/>
    <w:next w:val="Normal"/>
    <w:link w:val="IntenseQuoteChar"/>
    <w:uiPriority w:val="30"/>
    <w:qFormat/>
    <w:rsid w:val="00827E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E5D"/>
    <w:rPr>
      <w:i/>
      <w:iCs/>
      <w:color w:val="0F4761" w:themeColor="accent1" w:themeShade="BF"/>
    </w:rPr>
  </w:style>
  <w:style w:type="character" w:styleId="IntenseReference">
    <w:name w:val="Intense Reference"/>
    <w:basedOn w:val="DefaultParagraphFont"/>
    <w:uiPriority w:val="32"/>
    <w:qFormat/>
    <w:rsid w:val="00827E5D"/>
    <w:rPr>
      <w:b/>
      <w:bCs/>
      <w:smallCaps/>
      <w:color w:val="0F4761" w:themeColor="accent1" w:themeShade="BF"/>
      <w:spacing w:val="5"/>
    </w:rPr>
  </w:style>
  <w:style w:type="paragraph" w:styleId="EndnoteText">
    <w:name w:val="endnote text"/>
    <w:basedOn w:val="Normal"/>
    <w:link w:val="EndnoteTextChar"/>
    <w:uiPriority w:val="99"/>
    <w:unhideWhenUsed/>
    <w:qFormat/>
    <w:rsid w:val="00DF2844"/>
    <w:pPr>
      <w:spacing w:after="120" w:line="240" w:lineRule="auto"/>
      <w:ind w:left="720" w:hanging="720"/>
    </w:pPr>
    <w:rPr>
      <w:rFonts w:ascii="Times New Roman" w:hAnsi="Times New Roman"/>
      <w:szCs w:val="20"/>
    </w:rPr>
  </w:style>
  <w:style w:type="character" w:customStyle="1" w:styleId="EndnoteTextChar">
    <w:name w:val="Endnote Text Char"/>
    <w:basedOn w:val="DefaultParagraphFont"/>
    <w:link w:val="EndnoteText"/>
    <w:uiPriority w:val="99"/>
    <w:rsid w:val="00DF2844"/>
    <w:rPr>
      <w:rFonts w:ascii="Times New Roman" w:hAnsi="Times New Roman"/>
      <w:szCs w:val="20"/>
    </w:rPr>
  </w:style>
  <w:style w:type="character" w:styleId="EndnoteReference">
    <w:name w:val="endnote reference"/>
    <w:basedOn w:val="DefaultParagraphFont"/>
    <w:uiPriority w:val="14"/>
    <w:unhideWhenUsed/>
    <w:qFormat/>
    <w:rsid w:val="004A5648"/>
    <w:rPr>
      <w:b/>
      <w:vertAlign w:val="superscript"/>
    </w:rPr>
  </w:style>
  <w:style w:type="paragraph" w:styleId="Header">
    <w:name w:val="header"/>
    <w:basedOn w:val="Normal"/>
    <w:link w:val="HeaderChar"/>
    <w:uiPriority w:val="99"/>
    <w:unhideWhenUsed/>
    <w:rsid w:val="00F63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969"/>
  </w:style>
  <w:style w:type="paragraph" w:styleId="Footer">
    <w:name w:val="footer"/>
    <w:basedOn w:val="Normal"/>
    <w:link w:val="FooterChar"/>
    <w:uiPriority w:val="99"/>
    <w:unhideWhenUsed/>
    <w:rsid w:val="00F63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969"/>
  </w:style>
  <w:style w:type="character" w:styleId="Hyperlink">
    <w:name w:val="Hyperlink"/>
    <w:basedOn w:val="DefaultParagraphFont"/>
    <w:uiPriority w:val="99"/>
    <w:unhideWhenUsed/>
    <w:rsid w:val="00B81E1D"/>
    <w:rPr>
      <w:color w:val="467886" w:themeColor="hyperlink"/>
      <w:u w:val="single"/>
    </w:rPr>
  </w:style>
  <w:style w:type="character" w:styleId="UnresolvedMention">
    <w:name w:val="Unresolved Mention"/>
    <w:basedOn w:val="DefaultParagraphFont"/>
    <w:uiPriority w:val="99"/>
    <w:semiHidden/>
    <w:unhideWhenUsed/>
    <w:rsid w:val="00B81E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9B615-3E82-4810-A682-6A825F7A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11</Pages>
  <Words>1541</Words>
  <Characters>8788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 Kell</dc:creator>
  <cp:keywords/>
  <dc:description/>
  <cp:lastModifiedBy>Wade Padgett</cp:lastModifiedBy>
  <cp:revision>4</cp:revision>
  <dcterms:created xsi:type="dcterms:W3CDTF">2025-09-22T14:46:00Z</dcterms:created>
  <dcterms:modified xsi:type="dcterms:W3CDTF">2025-09-22T22:42:00Z</dcterms:modified>
</cp:coreProperties>
</file>