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89CB" w14:textId="2B014CC3" w:rsidR="00C71331" w:rsidRPr="00C71331" w:rsidRDefault="00831FEF" w:rsidP="00C71331">
      <w:pPr>
        <w:keepNext/>
        <w:spacing w:after="200" w:line="480" w:lineRule="auto"/>
        <w:jc w:val="center"/>
        <w:rPr>
          <w:rFonts w:eastAsia="Times New Roman"/>
          <w:b/>
          <w:color w:val="auto"/>
          <w:kern w:val="0"/>
          <w:sz w:val="28"/>
          <w:szCs w:val="28"/>
          <w14:ligatures w14:val="none"/>
        </w:rPr>
      </w:pPr>
      <w:bookmarkStart w:id="0" w:name="_Hlk111203407"/>
      <w:bookmarkStart w:id="1" w:name="_Hlk144125644"/>
      <w:r>
        <w:rPr>
          <w:rFonts w:eastAsia="Times New Roman"/>
          <w:b/>
          <w:color w:val="auto"/>
          <w:kern w:val="0"/>
          <w:sz w:val="28"/>
          <w:szCs w:val="28"/>
          <w14:ligatures w14:val="none"/>
        </w:rPr>
        <w:t>C</w:t>
      </w:r>
      <w:r w:rsidR="00776F4B">
        <w:rPr>
          <w:rFonts w:eastAsia="Times New Roman"/>
          <w:b/>
          <w:color w:val="auto"/>
          <w:kern w:val="0"/>
          <w:sz w:val="28"/>
          <w:szCs w:val="28"/>
          <w14:ligatures w14:val="none"/>
        </w:rPr>
        <w:t>RIMINAL TRIALS WITH MULTIPLE DEFENDANTS</w:t>
      </w:r>
      <w:r w:rsidR="00C71331" w:rsidRPr="00C71331">
        <w:rPr>
          <w:rFonts w:eastAsia="Times New Roman"/>
          <w:b/>
          <w:color w:val="auto"/>
          <w:kern w:val="0"/>
          <w:sz w:val="28"/>
          <w:szCs w:val="28"/>
          <w14:ligatures w14:val="none"/>
        </w:rPr>
        <w:t xml:space="preserve"> - EPISODE NOTES</w:t>
      </w:r>
      <w:r w:rsidR="004D4931">
        <w:rPr>
          <w:rFonts w:eastAsia="Times New Roman"/>
          <w:b/>
          <w:color w:val="auto"/>
          <w:kern w:val="0"/>
          <w:sz w:val="28"/>
          <w:szCs w:val="28"/>
          <w14:ligatures w14:val="none"/>
        </w:rPr>
        <w:t xml:space="preserve"> – PART 1</w:t>
      </w:r>
    </w:p>
    <w:bookmarkEnd w:id="1"/>
    <w:p w14:paraId="4EF6EF63" w14:textId="170D770B"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color w:val="auto"/>
          <w:kern w:val="0"/>
          <w:sz w:val="28"/>
          <w:szCs w:val="28"/>
          <w14:ligatures w14:val="none"/>
        </w:rPr>
        <w:t>Hello everyone and welcome back to the Good Judge-</w:t>
      </w:r>
      <w:proofErr w:type="spellStart"/>
      <w:r w:rsidRPr="00C71331">
        <w:rPr>
          <w:rFonts w:eastAsia="Times New Roman"/>
          <w:bCs/>
          <w:color w:val="auto"/>
          <w:kern w:val="0"/>
          <w:sz w:val="28"/>
          <w:szCs w:val="28"/>
          <w14:ligatures w14:val="none"/>
        </w:rPr>
        <w:t>Ment</w:t>
      </w:r>
      <w:proofErr w:type="spellEnd"/>
      <w:r w:rsidRPr="00C71331">
        <w:rPr>
          <w:rFonts w:eastAsia="Times New Roman"/>
          <w:bCs/>
          <w:color w:val="auto"/>
          <w:kern w:val="0"/>
          <w:sz w:val="28"/>
          <w:szCs w:val="28"/>
          <w14:ligatures w14:val="none"/>
        </w:rPr>
        <w:t xml:space="preserve"> Podcast.  I am Wade Padgett</w:t>
      </w:r>
    </w:p>
    <w:p w14:paraId="724A7D1B" w14:textId="77777777" w:rsidR="00C71331" w:rsidRDefault="00C71331" w:rsidP="00C71331">
      <w:pPr>
        <w:spacing w:after="200" w:line="480" w:lineRule="auto"/>
        <w:rPr>
          <w:rFonts w:eastAsia="Times New Roman"/>
          <w:bCs/>
          <w:i/>
          <w:iCs/>
          <w:color w:val="auto"/>
          <w:kern w:val="0"/>
          <w:sz w:val="28"/>
          <w:szCs w:val="28"/>
          <w14:ligatures w14:val="none"/>
        </w:rPr>
      </w:pPr>
      <w:r w:rsidRPr="00C71331">
        <w:rPr>
          <w:rFonts w:eastAsia="Times New Roman"/>
          <w:bCs/>
          <w:i/>
          <w:iCs/>
          <w:color w:val="auto"/>
          <w:kern w:val="0"/>
          <w:sz w:val="28"/>
          <w:szCs w:val="28"/>
          <w14:ligatures w14:val="none"/>
        </w:rPr>
        <w:t xml:space="preserve">And I am Tain Kell. </w:t>
      </w:r>
    </w:p>
    <w:p w14:paraId="2514A0C8" w14:textId="39FD21D2" w:rsidR="00776F4B" w:rsidRDefault="00776F4B"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Tain, with all that’s going on in Georgia right now, one of our listeners suggested that we record an episode on criminal trials with multiple defendants</w:t>
      </w:r>
    </w:p>
    <w:p w14:paraId="17C994E9" w14:textId="4E1599D9" w:rsidR="00776F4B" w:rsidRDefault="00776F4B"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Going on?  Like is something going on in Georgia courts that has the world’s attention</w:t>
      </w:r>
      <w:r w:rsidR="007C078D">
        <w:rPr>
          <w:rFonts w:eastAsia="Times New Roman"/>
          <w:bCs/>
          <w:i/>
          <w:iCs/>
          <w:color w:val="auto"/>
          <w:kern w:val="0"/>
          <w:sz w:val="28"/>
          <w:szCs w:val="28"/>
          <w14:ligatures w14:val="none"/>
        </w:rPr>
        <w:t>?</w:t>
      </w:r>
    </w:p>
    <w:p w14:paraId="21E9B7D8" w14:textId="3703C7A3" w:rsidR="007C078D" w:rsidRDefault="007C078D"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Yeah, just a little trial</w:t>
      </w:r>
      <w:r w:rsidR="00326B9C">
        <w:rPr>
          <w:rFonts w:eastAsia="Times New Roman"/>
          <w:bCs/>
          <w:color w:val="auto"/>
          <w:kern w:val="0"/>
          <w:sz w:val="28"/>
          <w:szCs w:val="28"/>
          <w14:ligatures w14:val="none"/>
        </w:rPr>
        <w:t>…just a few defendants</w:t>
      </w:r>
    </w:p>
    <w:p w14:paraId="7613C4DC" w14:textId="168520A3" w:rsidR="007C078D" w:rsidRDefault="007C078D"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 xml:space="preserve">Anyway, our listener – likely motivated by considering all of the issues normally associated with a multi-defendant trial, asked if we could record an episode on the subject </w:t>
      </w:r>
    </w:p>
    <w:p w14:paraId="50A14273" w14:textId="354D0FD8" w:rsidR="007C078D" w:rsidRDefault="007C078D"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 xml:space="preserve">Here is our disclaimer – we are </w:t>
      </w:r>
      <w:r>
        <w:rPr>
          <w:rFonts w:eastAsia="Times New Roman"/>
          <w:b/>
          <w:color w:val="auto"/>
          <w:kern w:val="0"/>
          <w:sz w:val="28"/>
          <w:szCs w:val="28"/>
          <w14:ligatures w14:val="none"/>
        </w:rPr>
        <w:t>NOT</w:t>
      </w:r>
      <w:r>
        <w:rPr>
          <w:rFonts w:eastAsia="Times New Roman"/>
          <w:bCs/>
          <w:color w:val="auto"/>
          <w:kern w:val="0"/>
          <w:sz w:val="28"/>
          <w:szCs w:val="28"/>
          <w14:ligatures w14:val="none"/>
        </w:rPr>
        <w:t xml:space="preserve"> directing any of our comments to anything we have heard about the “Trump Trial” or any of the issues that may arise in that case.  </w:t>
      </w:r>
    </w:p>
    <w:p w14:paraId="1C9567F7" w14:textId="2A35531F" w:rsidR="007C078D" w:rsidRDefault="007C078D"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lastRenderedPageBreak/>
        <w:t xml:space="preserve">While that trial may have been what motivated our loyal listener to request the topic, we are </w:t>
      </w:r>
      <w:r>
        <w:rPr>
          <w:rFonts w:eastAsia="Times New Roman"/>
          <w:b/>
          <w:i/>
          <w:iCs/>
          <w:color w:val="auto"/>
          <w:kern w:val="0"/>
          <w:sz w:val="28"/>
          <w:szCs w:val="28"/>
          <w14:ligatures w14:val="none"/>
        </w:rPr>
        <w:t>NOT</w:t>
      </w:r>
      <w:r>
        <w:rPr>
          <w:rFonts w:eastAsia="Times New Roman"/>
          <w:bCs/>
          <w:i/>
          <w:iCs/>
          <w:color w:val="auto"/>
          <w:kern w:val="0"/>
          <w:sz w:val="28"/>
          <w:szCs w:val="28"/>
          <w14:ligatures w14:val="none"/>
        </w:rPr>
        <w:t xml:space="preserve"> addressing that trial.</w:t>
      </w:r>
    </w:p>
    <w:p w14:paraId="64DE1341" w14:textId="3793602B" w:rsidR="00776F4B" w:rsidRDefault="007C078D" w:rsidP="0003237A">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Instead, we are addressing any multi-defendant criminal trial and the unique issues posed in those types of trials.</w:t>
      </w:r>
      <w:r w:rsidR="00180A05">
        <w:rPr>
          <w:rFonts w:eastAsia="Times New Roman"/>
          <w:bCs/>
          <w:color w:val="auto"/>
          <w:kern w:val="0"/>
          <w:sz w:val="28"/>
          <w:szCs w:val="28"/>
          <w14:ligatures w14:val="none"/>
        </w:rPr>
        <w:t xml:space="preserve">  I have presided in cases involving 7 defendants and 6 defendants, respectively – multiple 2-3 defendant cases</w:t>
      </w:r>
    </w:p>
    <w:p w14:paraId="5C7A9AD3" w14:textId="11CEFE7E" w:rsidR="00180A05" w:rsidRDefault="00180A05" w:rsidP="0003237A">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I have also presided over multiple defendant cases _____ (tell your records/average)</w:t>
      </w:r>
    </w:p>
    <w:p w14:paraId="3D2EC3CE" w14:textId="266D095F" w:rsidR="00B3052C" w:rsidRPr="00B3052C" w:rsidRDefault="00B3052C" w:rsidP="0003237A">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You can find these episode notes on our webpage – goodjudgepod.com</w:t>
      </w:r>
    </w:p>
    <w:p w14:paraId="014B72EA" w14:textId="400D35E3" w:rsidR="00B3052C" w:rsidRPr="00B3052C" w:rsidRDefault="00104359" w:rsidP="00C71331">
      <w:pPr>
        <w:spacing w:after="200" w:line="480" w:lineRule="auto"/>
        <w:rPr>
          <w:rFonts w:eastAsia="Times New Roman"/>
          <w:bCs/>
          <w:color w:val="auto"/>
          <w:kern w:val="0"/>
          <w:sz w:val="28"/>
          <w:szCs w:val="28"/>
          <w14:ligatures w14:val="none"/>
        </w:rPr>
      </w:pPr>
      <w:r>
        <w:rPr>
          <w:rFonts w:eastAsia="Times New Roman"/>
          <w:bCs/>
          <w:i/>
          <w:iCs/>
          <w:color w:val="auto"/>
          <w:kern w:val="0"/>
          <w:sz w:val="28"/>
          <w:szCs w:val="28"/>
          <w14:ligatures w14:val="none"/>
        </w:rPr>
        <w:t xml:space="preserve">  If </w:t>
      </w:r>
      <w:r w:rsidRPr="00C50CDC">
        <w:rPr>
          <w:rFonts w:eastAsia="Times New Roman"/>
          <w:bCs/>
          <w:i/>
          <w:iCs/>
          <w:color w:val="auto"/>
          <w:kern w:val="0"/>
          <w:sz w:val="28"/>
          <w:szCs w:val="28"/>
          <w:u w:val="single"/>
          <w14:ligatures w14:val="none"/>
        </w:rPr>
        <w:t>you</w:t>
      </w:r>
      <w:r>
        <w:rPr>
          <w:rFonts w:eastAsia="Times New Roman"/>
          <w:bCs/>
          <w:i/>
          <w:iCs/>
          <w:color w:val="auto"/>
          <w:kern w:val="0"/>
          <w:sz w:val="28"/>
          <w:szCs w:val="28"/>
          <w14:ligatures w14:val="none"/>
        </w:rPr>
        <w:t xml:space="preserve"> have </w:t>
      </w:r>
      <w:r w:rsidR="0003237A">
        <w:rPr>
          <w:rFonts w:eastAsia="Times New Roman"/>
          <w:bCs/>
          <w:i/>
          <w:iCs/>
          <w:color w:val="auto"/>
          <w:kern w:val="0"/>
          <w:sz w:val="28"/>
          <w:szCs w:val="28"/>
          <w14:ligatures w14:val="none"/>
        </w:rPr>
        <w:t>podcast topic ideas, send them to us at</w:t>
      </w:r>
      <w:r w:rsidR="00326B9C">
        <w:rPr>
          <w:rFonts w:eastAsia="Times New Roman"/>
          <w:bCs/>
          <w:color w:val="auto"/>
          <w:kern w:val="0"/>
          <w:sz w:val="28"/>
          <w:szCs w:val="28"/>
          <w14:ligatures w14:val="none"/>
        </w:rPr>
        <w:t xml:space="preserve"> </w:t>
      </w:r>
      <w:r w:rsidR="00C50CDC" w:rsidRPr="00C71331">
        <w:rPr>
          <w:rFonts w:eastAsia="Times New Roman"/>
          <w:bCs/>
          <w:i/>
          <w:iCs/>
          <w:color w:val="auto"/>
          <w:kern w:val="0"/>
          <w:sz w:val="28"/>
          <w:szCs w:val="28"/>
          <w14:ligatures w14:val="none"/>
        </w:rPr>
        <w:t>goodjudgepod@gmail.com</w:t>
      </w:r>
      <w:r w:rsidR="00C50CDC">
        <w:rPr>
          <w:rFonts w:eastAsia="Times New Roman"/>
          <w:bCs/>
          <w:i/>
          <w:iCs/>
          <w:color w:val="auto"/>
          <w:kern w:val="0"/>
          <w:sz w:val="28"/>
          <w:szCs w:val="28"/>
          <w14:ligatures w14:val="none"/>
        </w:rPr>
        <w:t xml:space="preserve">.  </w:t>
      </w:r>
      <w:r w:rsidR="00C71331" w:rsidRPr="00C71331">
        <w:rPr>
          <w:rFonts w:eastAsia="Times New Roman"/>
          <w:bCs/>
          <w:i/>
          <w:iCs/>
          <w:color w:val="auto"/>
          <w:kern w:val="0"/>
          <w:sz w:val="28"/>
          <w:szCs w:val="28"/>
          <w14:ligatures w14:val="none"/>
        </w:rPr>
        <w:t xml:space="preserve">With all of that being said, let’s talk </w:t>
      </w:r>
      <w:r w:rsidR="00326B9C">
        <w:rPr>
          <w:rFonts w:eastAsia="Times New Roman"/>
          <w:bCs/>
          <w:i/>
          <w:iCs/>
          <w:color w:val="auto"/>
          <w:kern w:val="0"/>
          <w:sz w:val="28"/>
          <w:szCs w:val="28"/>
          <w14:ligatures w14:val="none"/>
        </w:rPr>
        <w:t>multi-defendant criminal trials</w:t>
      </w:r>
    </w:p>
    <w:p w14:paraId="255A5DB4" w14:textId="77777777" w:rsidR="00C71331" w:rsidRPr="00C71331" w:rsidRDefault="00000000"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pict w14:anchorId="6419F390">
          <v:rect id="_x0000_i1025" style="width:0;height:1.5pt" o:hralign="center" o:hrstd="t" o:hr="t" fillcolor="#a0a0a0" stroked="f"/>
        </w:pict>
      </w:r>
    </w:p>
    <w:p w14:paraId="1EAF6F6B" w14:textId="77777777" w:rsidR="00B3052C" w:rsidRDefault="00326B9C" w:rsidP="0003237A">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Criminal cases with multiple defendants have all of the typical issues</w:t>
      </w:r>
      <w:r w:rsidR="00B3052C">
        <w:rPr>
          <w:rFonts w:eastAsia="Times New Roman"/>
          <w:bCs/>
          <w:color w:val="auto"/>
          <w:kern w:val="0"/>
          <w:sz w:val="28"/>
          <w:szCs w:val="28"/>
          <w14:ligatures w14:val="none"/>
        </w:rPr>
        <w:t xml:space="preserve"> that exist in a single defendant criminal trial</w:t>
      </w:r>
    </w:p>
    <w:p w14:paraId="5224575B" w14:textId="27CA27FF" w:rsidR="0003237A" w:rsidRDefault="00B3052C" w:rsidP="00B3052C">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B</w:t>
      </w:r>
      <w:r w:rsidR="00326B9C">
        <w:rPr>
          <w:rFonts w:eastAsia="Times New Roman"/>
          <w:bCs/>
          <w:color w:val="auto"/>
          <w:kern w:val="0"/>
          <w:sz w:val="28"/>
          <w:szCs w:val="28"/>
          <w14:ligatures w14:val="none"/>
        </w:rPr>
        <w:t>ut there are some additional issues that do not apply in a single defendant trial that arise with some frequency in a multi-defendant criminal trial</w:t>
      </w:r>
    </w:p>
    <w:p w14:paraId="40D08A6D" w14:textId="2FCA692D" w:rsidR="00326B9C" w:rsidRDefault="008138CD" w:rsidP="00B3052C">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There was a time in Georgia law when each defendant received a separate trial (can you imagine?)</w:t>
      </w:r>
    </w:p>
    <w:p w14:paraId="2256D899" w14:textId="116D1CAF" w:rsidR="008138CD" w:rsidRDefault="008138CD" w:rsidP="008138CD">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That old practice ended in 1971-1972.</w:t>
      </w:r>
      <w:r>
        <w:rPr>
          <w:rStyle w:val="EndnoteReference"/>
          <w:rFonts w:eastAsia="Times New Roman"/>
          <w:bCs/>
          <w:kern w:val="0"/>
          <w:szCs w:val="28"/>
          <w14:ligatures w14:val="none"/>
        </w:rPr>
        <w:endnoteReference w:id="1"/>
      </w:r>
    </w:p>
    <w:p w14:paraId="3C55C606" w14:textId="6F0F7AD1" w:rsidR="00CD4FB6" w:rsidRDefault="00CD4FB6" w:rsidP="00B3052C">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That is still the law in a death penalty case – each defendant has a separate trial</w:t>
      </w:r>
    </w:p>
    <w:p w14:paraId="607B5099" w14:textId="54931003" w:rsidR="00B3052C" w:rsidRPr="00C71331" w:rsidRDefault="00B3052C" w:rsidP="00B3052C">
      <w:pPr>
        <w:spacing w:before="120" w:after="240" w:line="480" w:lineRule="auto"/>
        <w:ind w:left="720" w:right="720"/>
        <w:rPr>
          <w:rFonts w:eastAsia="Arial" w:cstheme="minorBidi"/>
          <w:bCs/>
          <w:color w:val="auto"/>
          <w:kern w:val="0"/>
          <w14:ligatures w14:val="none"/>
        </w:rPr>
      </w:pPr>
      <w:r>
        <w:rPr>
          <w:rFonts w:eastAsia="Times New Roman"/>
          <w:bCs/>
          <w:color w:val="auto"/>
          <w:kern w:val="0"/>
          <w:sz w:val="28"/>
          <w:szCs w:val="28"/>
          <w14:ligatures w14:val="none"/>
        </w:rPr>
        <w:t>So, just a reminder that this episode has no bearing in a death penalty case</w:t>
      </w:r>
    </w:p>
    <w:p w14:paraId="754DAFB0" w14:textId="77777777" w:rsidR="00C71331" w:rsidRPr="00C71331" w:rsidRDefault="00000000" w:rsidP="00C71331">
      <w:pPr>
        <w:spacing w:before="120" w:after="240" w:line="480" w:lineRule="auto"/>
        <w:ind w:right="720"/>
        <w:rPr>
          <w:rFonts w:eastAsia="Arial" w:cstheme="minorBidi"/>
          <w:bCs/>
          <w:color w:val="auto"/>
          <w:kern w:val="0"/>
          <w14:ligatures w14:val="none"/>
        </w:rPr>
      </w:pPr>
      <w:r>
        <w:rPr>
          <w:rFonts w:eastAsia="Times New Roman"/>
          <w:bCs/>
          <w:color w:val="auto"/>
          <w:kern w:val="0"/>
          <w:sz w:val="28"/>
          <w:szCs w:val="28"/>
          <w14:ligatures w14:val="none"/>
        </w:rPr>
        <w:pict w14:anchorId="52A1C868">
          <v:rect id="_x0000_i1026" style="width:0;height:1.5pt" o:hralign="center" o:hrstd="t" o:hr="t" fillcolor="#a0a0a0" stroked="f"/>
        </w:pict>
      </w:r>
    </w:p>
    <w:p w14:paraId="25AD0F59" w14:textId="1D1090AF" w:rsidR="00B17AAF" w:rsidRDefault="008138CD" w:rsidP="00C7133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If facing a multiple-defendant criminal trial – the first place to look is O.C.G.A. § </w:t>
      </w:r>
      <w:r w:rsidR="00CD4FB6">
        <w:rPr>
          <w:rFonts w:eastAsia="Arial"/>
          <w:bCs/>
          <w:color w:val="auto"/>
          <w:kern w:val="0"/>
          <w:sz w:val="28"/>
          <w:szCs w:val="28"/>
          <w14:ligatures w14:val="none"/>
        </w:rPr>
        <w:t>17-8-4</w:t>
      </w:r>
    </w:p>
    <w:p w14:paraId="348D77F1" w14:textId="674A9F75" w:rsidR="00CD4FB6" w:rsidRDefault="00CD4FB6" w:rsidP="00CD4FB6">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Subsection (a) deals with severance/joint trials and subsection (b) deals with </w:t>
      </w:r>
      <w:r w:rsidR="00B3052C">
        <w:rPr>
          <w:rFonts w:eastAsia="Arial"/>
          <w:bCs/>
          <w:color w:val="auto"/>
          <w:kern w:val="0"/>
          <w:sz w:val="28"/>
          <w:szCs w:val="28"/>
          <w14:ligatures w14:val="none"/>
        </w:rPr>
        <w:t xml:space="preserve">peremptory </w:t>
      </w:r>
      <w:r>
        <w:rPr>
          <w:rFonts w:eastAsia="Arial"/>
          <w:bCs/>
          <w:color w:val="auto"/>
          <w:kern w:val="0"/>
          <w:sz w:val="28"/>
          <w:szCs w:val="28"/>
          <w14:ligatures w14:val="none"/>
        </w:rPr>
        <w:t>jury strikes in a multi-defendant trial</w:t>
      </w:r>
    </w:p>
    <w:p w14:paraId="752BA5E7" w14:textId="0659974B" w:rsidR="00B17AAF" w:rsidRDefault="00000000" w:rsidP="00C71331">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731BA36E">
          <v:rect id="_x0000_i1027" style="width:0;height:1.5pt" o:hralign="center" o:hrstd="t" o:hr="t" fillcolor="#a0a0a0" stroked="f"/>
        </w:pict>
      </w:r>
    </w:p>
    <w:p w14:paraId="4F150F5F" w14:textId="3F46698D" w:rsidR="00AF0975" w:rsidRDefault="00CD4FB6" w:rsidP="00AF097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Given that the statute starts with a severance discussion, let’s start there also</w:t>
      </w:r>
    </w:p>
    <w:p w14:paraId="02CD139C" w14:textId="5AE48977" w:rsidR="00CD4FB6" w:rsidRDefault="00CD4FB6" w:rsidP="00AF097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Obviously, severance is not an issue in a single defendant case</w:t>
      </w:r>
    </w:p>
    <w:p w14:paraId="51843F8C" w14:textId="34D42C76" w:rsidR="00CD4FB6" w:rsidRDefault="00CD4FB6" w:rsidP="00AF097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First, it is in the discretion of the trial judge whether to sever the trial of one or more co-defendants from the trial of the other co-defendants</w:t>
      </w:r>
      <w:r w:rsidR="00CC4ED3">
        <w:rPr>
          <w:rFonts w:eastAsia="Arial"/>
          <w:bCs/>
          <w:color w:val="auto"/>
          <w:kern w:val="0"/>
          <w:sz w:val="28"/>
          <w:szCs w:val="28"/>
          <w14:ligatures w14:val="none"/>
        </w:rPr>
        <w:t xml:space="preserve"> (no obligation to do so – completely discretionary)</w:t>
      </w:r>
      <w:r w:rsidR="00B3052C">
        <w:rPr>
          <w:rStyle w:val="EndnoteReference"/>
          <w:rFonts w:eastAsia="Arial"/>
          <w:bCs/>
          <w:kern w:val="0"/>
          <w:szCs w:val="28"/>
          <w14:ligatures w14:val="none"/>
        </w:rPr>
        <w:endnoteReference w:id="2"/>
      </w:r>
    </w:p>
    <w:p w14:paraId="652A2417" w14:textId="52596E22" w:rsidR="00F5101A" w:rsidRDefault="00F5101A" w:rsidP="00B3052C">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There are cases where the prosecutor has asked for severance</w:t>
      </w:r>
      <w:r w:rsidR="00B3052C">
        <w:rPr>
          <w:rFonts w:eastAsia="Arial"/>
          <w:bCs/>
          <w:color w:val="auto"/>
          <w:kern w:val="0"/>
          <w:sz w:val="28"/>
          <w:szCs w:val="28"/>
          <w14:ligatures w14:val="none"/>
        </w:rPr>
        <w:t xml:space="preserve"> – no error on appeal when granted at prosecutor’s request</w:t>
      </w:r>
      <w:r w:rsidR="00CC4ED3">
        <w:rPr>
          <w:rStyle w:val="EndnoteReference"/>
          <w:rFonts w:eastAsia="Arial"/>
          <w:bCs/>
          <w:kern w:val="0"/>
          <w:szCs w:val="28"/>
          <w14:ligatures w14:val="none"/>
        </w:rPr>
        <w:endnoteReference w:id="3"/>
      </w:r>
    </w:p>
    <w:p w14:paraId="55901B3F" w14:textId="2D975D58" w:rsidR="00F5101A" w:rsidRDefault="00F5101A" w:rsidP="00AF097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most common is a written motion filed by one or more defendant requesting to have his/her trial severed from the other co-defendants</w:t>
      </w:r>
    </w:p>
    <w:p w14:paraId="75EA3FE0" w14:textId="77641FE2" w:rsidR="00CC4ED3" w:rsidRDefault="00CC4ED3" w:rsidP="00763690">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Once a severance motion has been filed, it is the duty of the party requesting severance to establish that not granting severance will result in a denial of due process – a very high standard</w:t>
      </w:r>
      <w:r>
        <w:rPr>
          <w:rStyle w:val="EndnoteReference"/>
          <w:rFonts w:eastAsia="Arial"/>
          <w:bCs/>
          <w:kern w:val="0"/>
          <w:szCs w:val="28"/>
          <w14:ligatures w14:val="none"/>
        </w:rPr>
        <w:endnoteReference w:id="4"/>
      </w:r>
    </w:p>
    <w:p w14:paraId="43E9B906" w14:textId="77777777" w:rsidR="0054544B" w:rsidRPr="0054544B" w:rsidRDefault="0054544B" w:rsidP="0054544B">
      <w:pPr>
        <w:spacing w:before="120" w:after="240" w:line="480" w:lineRule="auto"/>
        <w:ind w:right="720"/>
        <w:rPr>
          <w:rFonts w:eastAsia="Arial"/>
          <w:bCs/>
          <w:color w:val="auto"/>
          <w:kern w:val="0"/>
          <w:sz w:val="28"/>
          <w:szCs w:val="28"/>
          <w14:ligatures w14:val="none"/>
        </w:rPr>
      </w:pPr>
      <w:r w:rsidRPr="0054544B">
        <w:rPr>
          <w:rFonts w:eastAsia="Arial"/>
          <w:bCs/>
          <w:color w:val="auto"/>
          <w:kern w:val="0"/>
          <w:sz w:val="28"/>
          <w:szCs w:val="28"/>
          <w14:ligatures w14:val="none"/>
        </w:rPr>
        <w:t>If a defendant moves to sever his/her trial from that of his/her co-defendant, the trial court has been directed to hear argument on the motion with the following questions in mind:</w:t>
      </w:r>
    </w:p>
    <w:p w14:paraId="786C038D" w14:textId="77777777" w:rsidR="0054544B" w:rsidRPr="0054544B" w:rsidRDefault="0054544B" w:rsidP="0054544B">
      <w:pPr>
        <w:numPr>
          <w:ilvl w:val="0"/>
          <w:numId w:val="10"/>
        </w:numPr>
        <w:spacing w:before="120" w:after="240" w:line="480" w:lineRule="auto"/>
        <w:ind w:right="720"/>
        <w:rPr>
          <w:rFonts w:eastAsia="Arial"/>
          <w:bCs/>
          <w:color w:val="auto"/>
          <w:kern w:val="0"/>
          <w:sz w:val="28"/>
          <w:szCs w:val="28"/>
          <w14:ligatures w14:val="none"/>
        </w:rPr>
      </w:pPr>
      <w:r w:rsidRPr="0054544B">
        <w:rPr>
          <w:rFonts w:eastAsia="Arial"/>
          <w:bCs/>
          <w:color w:val="auto"/>
          <w:kern w:val="0"/>
          <w:sz w:val="28"/>
          <w:szCs w:val="28"/>
          <w14:ligatures w14:val="none"/>
        </w:rPr>
        <w:t>Will the number of defendants create confusion of the evidence and law applicable to each individual defendant?</w:t>
      </w:r>
    </w:p>
    <w:p w14:paraId="62D13966" w14:textId="77777777" w:rsidR="0054544B" w:rsidRPr="0054544B" w:rsidRDefault="0054544B" w:rsidP="0054544B">
      <w:pPr>
        <w:numPr>
          <w:ilvl w:val="0"/>
          <w:numId w:val="10"/>
        </w:numPr>
        <w:spacing w:before="120" w:after="240" w:line="480" w:lineRule="auto"/>
        <w:ind w:right="720"/>
        <w:rPr>
          <w:rFonts w:eastAsia="Arial"/>
          <w:bCs/>
          <w:color w:val="auto"/>
          <w:kern w:val="0"/>
          <w:sz w:val="28"/>
          <w:szCs w:val="28"/>
          <w14:ligatures w14:val="none"/>
        </w:rPr>
      </w:pPr>
      <w:r w:rsidRPr="0054544B">
        <w:rPr>
          <w:rFonts w:eastAsia="Arial"/>
          <w:bCs/>
          <w:color w:val="auto"/>
          <w:kern w:val="0"/>
          <w:sz w:val="28"/>
          <w:szCs w:val="28"/>
          <w14:ligatures w14:val="none"/>
        </w:rPr>
        <w:lastRenderedPageBreak/>
        <w:t>Is there a danger that evidence admissible against one defendant will be considered against another defendant despite the admonitory precautions of the court?</w:t>
      </w:r>
    </w:p>
    <w:p w14:paraId="0F93DD97" w14:textId="77777777" w:rsidR="0054544B" w:rsidRPr="0054544B" w:rsidRDefault="0054544B" w:rsidP="0054544B">
      <w:pPr>
        <w:numPr>
          <w:ilvl w:val="0"/>
          <w:numId w:val="10"/>
        </w:numPr>
        <w:spacing w:before="120" w:after="240" w:line="480" w:lineRule="auto"/>
        <w:ind w:right="720"/>
        <w:rPr>
          <w:rFonts w:eastAsia="Arial"/>
          <w:bCs/>
          <w:color w:val="auto"/>
          <w:kern w:val="0"/>
          <w:sz w:val="28"/>
          <w:szCs w:val="28"/>
          <w14:ligatures w14:val="none"/>
        </w:rPr>
      </w:pPr>
      <w:r w:rsidRPr="0054544B">
        <w:rPr>
          <w:rFonts w:eastAsia="Arial"/>
          <w:bCs/>
          <w:color w:val="auto"/>
          <w:kern w:val="0"/>
          <w:sz w:val="28"/>
          <w:szCs w:val="28"/>
          <w14:ligatures w14:val="none"/>
        </w:rPr>
        <w:t>Are the defenses of the defendants antagonistic to each other or to each other’s rights?</w:t>
      </w:r>
      <w:r w:rsidRPr="0054544B">
        <w:rPr>
          <w:rFonts w:eastAsia="Arial"/>
          <w:b/>
          <w:bCs/>
          <w:color w:val="auto"/>
          <w:kern w:val="0"/>
          <w:sz w:val="28"/>
          <w:szCs w:val="28"/>
          <w:vertAlign w:val="superscript"/>
          <w14:ligatures w14:val="none"/>
        </w:rPr>
        <w:endnoteReference w:id="5"/>
      </w:r>
    </w:p>
    <w:p w14:paraId="36A8B409" w14:textId="77777777" w:rsidR="0054544B" w:rsidRPr="0054544B" w:rsidRDefault="0054544B" w:rsidP="0054544B">
      <w:pPr>
        <w:spacing w:before="120" w:after="240" w:line="480" w:lineRule="auto"/>
        <w:ind w:right="720"/>
        <w:rPr>
          <w:rFonts w:eastAsia="Arial"/>
          <w:bCs/>
          <w:color w:val="auto"/>
          <w:kern w:val="0"/>
          <w:sz w:val="28"/>
          <w:szCs w:val="28"/>
          <w14:ligatures w14:val="none"/>
        </w:rPr>
      </w:pPr>
      <w:r w:rsidRPr="0054544B">
        <w:rPr>
          <w:rFonts w:eastAsia="Arial"/>
          <w:bCs/>
          <w:color w:val="auto"/>
          <w:kern w:val="0"/>
          <w:sz w:val="28"/>
          <w:szCs w:val="28"/>
          <w14:ligatures w14:val="none"/>
        </w:rPr>
        <w:t>The trial court’s decision on whether to grant or deny severance is discretionary.</w:t>
      </w:r>
      <w:r w:rsidRPr="0054544B">
        <w:rPr>
          <w:rFonts w:eastAsia="Arial"/>
          <w:b/>
          <w:bCs/>
          <w:color w:val="auto"/>
          <w:kern w:val="0"/>
          <w:sz w:val="28"/>
          <w:szCs w:val="28"/>
          <w:vertAlign w:val="superscript"/>
          <w14:ligatures w14:val="none"/>
        </w:rPr>
        <w:endnoteReference w:id="6"/>
      </w:r>
    </w:p>
    <w:p w14:paraId="78F8CC97" w14:textId="6FF71DFD" w:rsidR="00CC4ED3" w:rsidRDefault="0054544B" w:rsidP="0054544B">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These 3 questions: confusion, evidence admission and antagonism of defenses are the driving questions behind a trial judge’s decision whether to grant severance to any moving defendant</w:t>
      </w:r>
    </w:p>
    <w:p w14:paraId="0DD07C59" w14:textId="1972775B" w:rsidR="0054544B" w:rsidRDefault="0054544B" w:rsidP="0054544B">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4BB5D328">
          <v:rect id="_x0000_i1038" style="width:0;height:1.5pt" o:hralign="center" o:hrstd="t" o:hr="t" fillcolor="#a0a0a0" stroked="f"/>
        </w:pict>
      </w:r>
    </w:p>
    <w:p w14:paraId="06D21BD6" w14:textId="732DBC43" w:rsidR="0054544B" w:rsidRDefault="0054544B" w:rsidP="0054544B">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In order for a defendant to prevail on his/her motion, </w:t>
      </w:r>
    </w:p>
    <w:p w14:paraId="5B276B5C" w14:textId="7FCF866F" w:rsidR="0054544B" w:rsidRDefault="0054544B" w:rsidP="0054544B">
      <w:pPr>
        <w:spacing w:before="120" w:after="240" w:line="480" w:lineRule="auto"/>
        <w:ind w:left="720" w:right="720"/>
        <w:rPr>
          <w:rFonts w:eastAsia="Arial"/>
          <w:bCs/>
          <w:color w:val="auto"/>
          <w:kern w:val="0"/>
          <w:sz w:val="28"/>
          <w:szCs w:val="28"/>
          <w14:ligatures w14:val="none"/>
        </w:rPr>
      </w:pPr>
      <w:r w:rsidRPr="0054544B">
        <w:rPr>
          <w:rFonts w:eastAsia="Arial"/>
          <w:bCs/>
          <w:color w:val="auto"/>
          <w:kern w:val="0"/>
          <w:sz w:val="28"/>
          <w:szCs w:val="28"/>
          <w14:ligatures w14:val="none"/>
        </w:rPr>
        <w:t xml:space="preserve">“it is not enough for the defendant to show that he or she would have a better chance of acquittal at a separate trial or that the evidence against a co-defendant is stronger.  Rather, the defendant must show clearly that a joint trial will prejudice his or her defense, </w:t>
      </w:r>
      <w:r w:rsidR="00763690">
        <w:rPr>
          <w:rFonts w:eastAsia="Arial"/>
          <w:bCs/>
          <w:color w:val="auto"/>
          <w:kern w:val="0"/>
          <w:sz w:val="28"/>
          <w:szCs w:val="28"/>
          <w14:ligatures w14:val="none"/>
        </w:rPr>
        <w:t>‘</w:t>
      </w:r>
      <w:r w:rsidRPr="0054544B">
        <w:rPr>
          <w:rFonts w:eastAsia="Arial"/>
          <w:bCs/>
          <w:color w:val="auto"/>
          <w:kern w:val="0"/>
          <w:sz w:val="28"/>
          <w:szCs w:val="28"/>
          <w14:ligatures w14:val="none"/>
        </w:rPr>
        <w:t>resulting in a denial of due process.</w:t>
      </w:r>
      <w:r w:rsidR="00763690">
        <w:rPr>
          <w:rFonts w:eastAsia="Arial"/>
          <w:bCs/>
          <w:color w:val="auto"/>
          <w:kern w:val="0"/>
          <w:sz w:val="28"/>
          <w:szCs w:val="28"/>
          <w14:ligatures w14:val="none"/>
        </w:rPr>
        <w:t>’</w:t>
      </w:r>
      <w:r w:rsidRPr="0054544B">
        <w:rPr>
          <w:rFonts w:eastAsia="Arial"/>
          <w:bCs/>
          <w:color w:val="auto"/>
          <w:kern w:val="0"/>
          <w:sz w:val="28"/>
          <w:szCs w:val="28"/>
          <w14:ligatures w14:val="none"/>
        </w:rPr>
        <w:t>”</w:t>
      </w:r>
      <w:r w:rsidRPr="0054544B">
        <w:rPr>
          <w:rFonts w:eastAsia="Arial"/>
          <w:b/>
          <w:bCs/>
          <w:color w:val="auto"/>
          <w:kern w:val="0"/>
          <w:sz w:val="28"/>
          <w:szCs w:val="28"/>
          <w:vertAlign w:val="superscript"/>
          <w14:ligatures w14:val="none"/>
        </w:rPr>
        <w:endnoteReference w:id="7"/>
      </w:r>
    </w:p>
    <w:p w14:paraId="5058F5F0" w14:textId="6469CF3F" w:rsidR="00DC7FAB" w:rsidRDefault="00DC7FAB" w:rsidP="00DC7FAB">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 xml:space="preserve">One of the Georgia cases which has been referenced involving RICO charges involved what became known as the school cheating case.  </w:t>
      </w:r>
    </w:p>
    <w:p w14:paraId="2752182D" w14:textId="70AF6C05" w:rsidR="00DC7FAB" w:rsidRDefault="00DC7FAB" w:rsidP="00DC7FAB">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35 total defendants – I think 11 went to trial together (according to appellate records)</w:t>
      </w:r>
    </w:p>
    <w:p w14:paraId="06526831" w14:textId="0E827266" w:rsidR="00DC7FAB" w:rsidRDefault="00DC7FAB" w:rsidP="00DC7FAB">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One of the defendants in that case appealed her conviction – including in the appeal alleged error in not granting severance</w:t>
      </w:r>
      <w:r>
        <w:rPr>
          <w:rStyle w:val="EndnoteReference"/>
          <w:rFonts w:eastAsia="Arial"/>
          <w:bCs/>
          <w:kern w:val="0"/>
          <w:szCs w:val="28"/>
          <w14:ligatures w14:val="none"/>
        </w:rPr>
        <w:endnoteReference w:id="8"/>
      </w:r>
    </w:p>
    <w:p w14:paraId="42BE7B48" w14:textId="0DB5B236" w:rsidR="00DC7FAB" w:rsidRDefault="00DC7FAB" w:rsidP="00DC7FAB">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The appellate court began with noting that the defendant could not point to any evidence that was ultimately introduced, that would not have been admissible against her</w:t>
      </w:r>
    </w:p>
    <w:p w14:paraId="0599B7EA" w14:textId="1C3BEC9A" w:rsidR="00180A05" w:rsidRDefault="00180A05" w:rsidP="00180A0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Even the appellate court acknowledged that the trial was very long and involved multiple defendants – but that fact alone does not demand severance</w:t>
      </w:r>
    </w:p>
    <w:p w14:paraId="44EE40E3" w14:textId="5FC70C1D" w:rsidR="00180A05" w:rsidRDefault="00180A05" w:rsidP="00180A0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In that case, there were also allegedly antagonistic defenses presented by different defendants</w:t>
      </w:r>
    </w:p>
    <w:p w14:paraId="1CBEFE73" w14:textId="657670ED" w:rsidR="00180A05" w:rsidRPr="00AF0975" w:rsidRDefault="00180A05" w:rsidP="00180A0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This "antagonistic defenses” argument is pretty common</w:t>
      </w:r>
    </w:p>
    <w:p w14:paraId="3BBCBEDD" w14:textId="77777777" w:rsidR="00C71331" w:rsidRPr="00C71331" w:rsidRDefault="00000000" w:rsidP="00C7133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3952E165">
          <v:rect id="_x0000_i1029" style="width:0;height:1.5pt" o:hralign="center" o:bullet="t" o:hrstd="t" o:hr="t" fillcolor="#a0a0a0" stroked="f"/>
        </w:pict>
      </w:r>
    </w:p>
    <w:p w14:paraId="1EC32C7E" w14:textId="0AFD8D3E" w:rsidR="00763690" w:rsidRDefault="00763690" w:rsidP="00763690">
      <w:pPr>
        <w:spacing w:before="120" w:after="240" w:line="480" w:lineRule="auto"/>
        <w:ind w:right="720"/>
        <w:rPr>
          <w:rFonts w:eastAsia="Arial"/>
          <w:bCs/>
          <w:color w:val="auto"/>
          <w:kern w:val="0"/>
          <w:sz w:val="28"/>
          <w:szCs w:val="28"/>
          <w14:ligatures w14:val="none"/>
        </w:rPr>
      </w:pPr>
      <w:r w:rsidRPr="00763690">
        <w:rPr>
          <w:rFonts w:eastAsia="Arial"/>
          <w:bCs/>
          <w:color w:val="auto"/>
          <w:kern w:val="0"/>
          <w:sz w:val="28"/>
          <w:szCs w:val="28"/>
          <w14:ligatures w14:val="none"/>
        </w:rPr>
        <w:lastRenderedPageBreak/>
        <w:t>The mere fact that there were antagonistic defenses presented is “not enough in itself to require severance[;] rather, [the defendant] must also demonstrate that he was harmed by the failure to sever.”</w:t>
      </w:r>
      <w:r w:rsidRPr="00763690">
        <w:rPr>
          <w:rFonts w:eastAsia="Arial"/>
          <w:b/>
          <w:bCs/>
          <w:color w:val="auto"/>
          <w:kern w:val="0"/>
          <w:sz w:val="28"/>
          <w:szCs w:val="28"/>
          <w:vertAlign w:val="superscript"/>
          <w14:ligatures w14:val="none"/>
        </w:rPr>
        <w:endnoteReference w:id="9"/>
      </w:r>
    </w:p>
    <w:p w14:paraId="3A323C68" w14:textId="4FEE96C4" w:rsidR="00763690" w:rsidRDefault="00763690" w:rsidP="00410F25">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Consider a gang murder case – multiple defendants on trial – each of them are blaming the other for being the shooter </w:t>
      </w:r>
      <w:r w:rsidR="00410F25">
        <w:rPr>
          <w:rFonts w:eastAsia="Arial"/>
          <w:bCs/>
          <w:color w:val="auto"/>
          <w:kern w:val="0"/>
          <w:sz w:val="28"/>
          <w:szCs w:val="28"/>
          <w14:ligatures w14:val="none"/>
        </w:rPr>
        <w:t>–</w:t>
      </w:r>
      <w:r>
        <w:rPr>
          <w:rFonts w:eastAsia="Arial"/>
          <w:bCs/>
          <w:color w:val="auto"/>
          <w:kern w:val="0"/>
          <w:sz w:val="28"/>
          <w:szCs w:val="28"/>
          <w14:ligatures w14:val="none"/>
        </w:rPr>
        <w:t xml:space="preserve"> </w:t>
      </w:r>
    </w:p>
    <w:p w14:paraId="7F4D4558" w14:textId="7A5B6D57" w:rsidR="00410F25" w:rsidRDefault="00410F25" w:rsidP="00410F2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One defendant requested severance which was denied.  On appeal, he stressed the antagonistic defenses argument</w:t>
      </w:r>
    </w:p>
    <w:p w14:paraId="326A1147" w14:textId="4A25B813" w:rsidR="00410F25" w:rsidRDefault="00410F25" w:rsidP="00410F25">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In fact, he suggested that because the defenses of the different defendants each blamed one another – they were not only antagonistic – they were “mutually exclusive” from one another and should have demanded severance</w:t>
      </w:r>
    </w:p>
    <w:p w14:paraId="1DFA9E79" w14:textId="54FFFFC5" w:rsidR="00410F25" w:rsidRDefault="00410F25" w:rsidP="00410F2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appellate courts said</w:t>
      </w:r>
      <w:r w:rsidR="001A442C">
        <w:rPr>
          <w:rFonts w:eastAsia="Arial"/>
          <w:bCs/>
          <w:color w:val="auto"/>
          <w:kern w:val="0"/>
          <w:sz w:val="28"/>
          <w:szCs w:val="28"/>
          <w14:ligatures w14:val="none"/>
        </w:rPr>
        <w:t xml:space="preserve"> whether defenses are merely antagonistic or are “mutually exclusive” from one another, “that is a distinction without a difference” under our law – and severance was not required</w:t>
      </w:r>
      <w:r w:rsidR="001A442C">
        <w:rPr>
          <w:rStyle w:val="EndnoteReference"/>
          <w:rFonts w:eastAsia="Arial"/>
          <w:bCs/>
          <w:kern w:val="0"/>
          <w:szCs w:val="28"/>
          <w14:ligatures w14:val="none"/>
        </w:rPr>
        <w:endnoteReference w:id="10"/>
      </w:r>
    </w:p>
    <w:p w14:paraId="7EA9DFBD" w14:textId="4242D7E5" w:rsidR="001A442C" w:rsidRDefault="001A442C" w:rsidP="00410F2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We are going to discuss jury charges in a little while but the appellate courts noted that where the jury is instructed on concepts such as “mere presence,” “mere association” and “parties to a crime,” any antagonism between the defenses does not demand severance</w:t>
      </w:r>
    </w:p>
    <w:p w14:paraId="11082D26" w14:textId="43162F4D" w:rsidR="008602E1" w:rsidRDefault="008602E1" w:rsidP="00410F25">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lastRenderedPageBreak/>
        <w:pict w14:anchorId="2EF689EE">
          <v:rect id="_x0000_i1039" style="width:0;height:1.5pt" o:hralign="center" o:bullet="t" o:hrstd="t" o:hr="t" fillcolor="#a0a0a0" stroked="f"/>
        </w:pict>
      </w:r>
    </w:p>
    <w:p w14:paraId="428960EF" w14:textId="180A1664" w:rsidR="001A442C" w:rsidRDefault="001A442C" w:rsidP="00410F2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I love how our appellate courts occasionally send out little hints that are somewhat tangential to the issue being discussed – but which give judges and lawyers insight into collateral things that should be done in the type of situation being discussed</w:t>
      </w:r>
    </w:p>
    <w:p w14:paraId="2E736B46" w14:textId="4055E3C9" w:rsidR="008602E1" w:rsidRDefault="008602E1" w:rsidP="008602E1">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Like, when discussing whether severance should have been granted, they list a few jury charges that were given in that case that helped support the decision made by the trial judge</w:t>
      </w:r>
    </w:p>
    <w:p w14:paraId="23721EAA" w14:textId="6760B4E5" w:rsidR="008602E1" w:rsidRDefault="008602E1" w:rsidP="008602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Speaking on behalf of judges everywhere, we appreciate the “heads up”</w:t>
      </w:r>
    </w:p>
    <w:p w14:paraId="12FC8E60" w14:textId="75D72BC1" w:rsidR="008602E1" w:rsidRDefault="008602E1" w:rsidP="008602E1">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0081278E">
          <v:rect id="_x0000_i1040" style="width:0;height:1.5pt" o:hralign="center" o:bullet="t" o:hrstd="t" o:hr="t" fillcolor="#a0a0a0" stroked="f"/>
        </w:pict>
      </w:r>
    </w:p>
    <w:p w14:paraId="59BCBC8C" w14:textId="147586F3" w:rsidR="008602E1" w:rsidRDefault="008602E1" w:rsidP="008602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There are times when a defendant seeking severance will argue that they cannot call the co-defendant as a witness</w:t>
      </w:r>
    </w:p>
    <w:p w14:paraId="25B2BAAB" w14:textId="1575D37E" w:rsidR="008602E1" w:rsidRDefault="008602E1" w:rsidP="00DC02E1">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Let’s stop and analyze that statement for a minute – even if the defendant was granted a separate trial, he/she could not call the co-defendant because that co-defendant would STILL have 5</w:t>
      </w:r>
      <w:r w:rsidRPr="008602E1">
        <w:rPr>
          <w:rFonts w:eastAsia="Arial"/>
          <w:bCs/>
          <w:color w:val="auto"/>
          <w:kern w:val="0"/>
          <w:sz w:val="28"/>
          <w:szCs w:val="28"/>
          <w:vertAlign w:val="superscript"/>
          <w14:ligatures w14:val="none"/>
        </w:rPr>
        <w:t>th</w:t>
      </w:r>
      <w:r>
        <w:rPr>
          <w:rFonts w:eastAsia="Arial"/>
          <w:bCs/>
          <w:color w:val="auto"/>
          <w:kern w:val="0"/>
          <w:sz w:val="28"/>
          <w:szCs w:val="28"/>
          <w14:ligatures w14:val="none"/>
        </w:rPr>
        <w:t xml:space="preserve"> Amendment right to remain silent</w:t>
      </w:r>
    </w:p>
    <w:p w14:paraId="67BDFA05" w14:textId="6D264BE9" w:rsidR="00DC02E1" w:rsidRDefault="00DC02E1" w:rsidP="00DC02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a/k/a “non-starter” argument</w:t>
      </w:r>
    </w:p>
    <w:p w14:paraId="4A12762B" w14:textId="5D4091EB" w:rsidR="00DC02E1" w:rsidRDefault="00DC02E1" w:rsidP="00DC02E1">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lastRenderedPageBreak/>
        <w:pict w14:anchorId="50BF7D8E">
          <v:rect id="_x0000_i1041" style="width:0;height:1.5pt" o:hralign="center" o:bullet="t" o:hrstd="t" o:hr="t" fillcolor="#a0a0a0" stroked="f"/>
        </w:pict>
      </w:r>
    </w:p>
    <w:p w14:paraId="02BEDE3E" w14:textId="15E695EE" w:rsidR="00DC02E1" w:rsidRDefault="00DC02E1" w:rsidP="00DC02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So if we recap this issue of severance:</w:t>
      </w:r>
    </w:p>
    <w:p w14:paraId="3D6EE424" w14:textId="05C0A8F0" w:rsidR="00DC02E1" w:rsidRDefault="00DC02E1" w:rsidP="00DC02E1">
      <w:pPr>
        <w:pStyle w:val="ListParagraph"/>
        <w:numPr>
          <w:ilvl w:val="0"/>
          <w:numId w:val="11"/>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Discretionary with trial judge</w:t>
      </w:r>
    </w:p>
    <w:p w14:paraId="4A95F55F" w14:textId="12353204" w:rsidR="00DC02E1" w:rsidRDefault="00DC02E1" w:rsidP="00DC02E1">
      <w:pPr>
        <w:pStyle w:val="ListParagraph"/>
        <w:numPr>
          <w:ilvl w:val="0"/>
          <w:numId w:val="11"/>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Judge should answer the three questions (confusion of issues, evidence admissible against some but not all defendants, and whether there are antagonistic defenses) but even a “yes” answer to all three questions does not demand severance</w:t>
      </w:r>
    </w:p>
    <w:p w14:paraId="70209B6B" w14:textId="0B680586" w:rsidR="00BC0F3E" w:rsidRPr="00BC0F3E" w:rsidRDefault="00BC0F3E" w:rsidP="00BC0F3E">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1D52C54E">
          <v:rect id="_x0000_i1042" style="width:0;height:1.5pt" o:hralign="center" o:bullet="t" o:hrstd="t" o:hr="t" fillcolor="#a0a0a0" stroked="f"/>
        </w:pict>
      </w:r>
    </w:p>
    <w:p w14:paraId="2F881286" w14:textId="2F57AD70" w:rsidR="00DC02E1" w:rsidRDefault="00DC02E1" w:rsidP="00DC02E1">
      <w:pPr>
        <w:spacing w:before="120" w:after="240" w:line="480" w:lineRule="auto"/>
        <w:ind w:right="720"/>
        <w:rPr>
          <w:rFonts w:eastAsia="Arial"/>
          <w:b/>
          <w:i/>
          <w:iCs/>
          <w:color w:val="auto"/>
          <w:kern w:val="0"/>
          <w:sz w:val="28"/>
          <w:szCs w:val="28"/>
          <w14:ligatures w14:val="none"/>
        </w:rPr>
      </w:pPr>
      <w:r>
        <w:rPr>
          <w:rFonts w:eastAsia="Arial"/>
          <w:b/>
          <w:i/>
          <w:iCs/>
          <w:color w:val="auto"/>
          <w:kern w:val="0"/>
          <w:sz w:val="28"/>
          <w:szCs w:val="28"/>
          <w14:ligatures w14:val="none"/>
        </w:rPr>
        <w:t>BRUTON</w:t>
      </w:r>
    </w:p>
    <w:p w14:paraId="0BDD0FFA" w14:textId="77777777" w:rsidR="00905B57" w:rsidRDefault="00905B57" w:rsidP="00905B57">
      <w:pPr>
        <w:spacing w:before="120" w:after="240" w:line="480" w:lineRule="auto"/>
        <w:ind w:right="720"/>
        <w:rPr>
          <w:rFonts w:eastAsia="Arial"/>
          <w:bCs/>
          <w:color w:val="auto"/>
          <w:kern w:val="0"/>
          <w:sz w:val="28"/>
          <w:szCs w:val="28"/>
          <w14:ligatures w14:val="none"/>
        </w:rPr>
      </w:pPr>
      <w:r w:rsidRPr="00905B57">
        <w:rPr>
          <w:rFonts w:eastAsia="Arial"/>
          <w:bCs/>
          <w:color w:val="auto"/>
          <w:kern w:val="0"/>
          <w:sz w:val="28"/>
          <w:szCs w:val="28"/>
          <w14:ligatures w14:val="none"/>
        </w:rPr>
        <w:t xml:space="preserve">Georgia law is replete with jargon, acronyms and shorthand references to landmark cases.  Trials of co-defendants frequently involve one of those shorthand references, “a </w:t>
      </w:r>
      <w:r w:rsidRPr="00905B57">
        <w:rPr>
          <w:rFonts w:eastAsia="Arial"/>
          <w:bCs/>
          <w:i/>
          <w:iCs/>
          <w:color w:val="auto"/>
          <w:kern w:val="0"/>
          <w:sz w:val="28"/>
          <w:szCs w:val="28"/>
          <w14:ligatures w14:val="none"/>
        </w:rPr>
        <w:t>Bruton</w:t>
      </w:r>
      <w:r w:rsidRPr="00905B57">
        <w:rPr>
          <w:rFonts w:eastAsia="Arial"/>
          <w:bCs/>
          <w:color w:val="auto"/>
          <w:kern w:val="0"/>
          <w:sz w:val="28"/>
          <w:szCs w:val="28"/>
          <w14:ligatures w14:val="none"/>
        </w:rPr>
        <w:t xml:space="preserve"> problem.”</w:t>
      </w:r>
      <w:r w:rsidRPr="00905B57">
        <w:rPr>
          <w:rFonts w:eastAsia="Arial"/>
          <w:b/>
          <w:bCs/>
          <w:color w:val="auto"/>
          <w:kern w:val="0"/>
          <w:sz w:val="28"/>
          <w:szCs w:val="28"/>
          <w:vertAlign w:val="superscript"/>
          <w14:ligatures w14:val="none"/>
        </w:rPr>
        <w:endnoteReference w:id="11"/>
      </w:r>
      <w:r w:rsidRPr="00905B57">
        <w:rPr>
          <w:rFonts w:eastAsia="Arial"/>
          <w:bCs/>
          <w:color w:val="auto"/>
          <w:kern w:val="0"/>
          <w:sz w:val="28"/>
          <w:szCs w:val="28"/>
          <w14:ligatures w14:val="none"/>
        </w:rPr>
        <w:t xml:space="preserve">  Before discussing the law in this area, it is better to understand exactly what the decision in </w:t>
      </w:r>
      <w:r w:rsidRPr="00905B57">
        <w:rPr>
          <w:rFonts w:eastAsia="Arial"/>
          <w:bCs/>
          <w:i/>
          <w:iCs/>
          <w:color w:val="auto"/>
          <w:kern w:val="0"/>
          <w:sz w:val="28"/>
          <w:szCs w:val="28"/>
          <w14:ligatures w14:val="none"/>
        </w:rPr>
        <w:t>Bruton</w:t>
      </w:r>
      <w:r w:rsidRPr="00905B57">
        <w:rPr>
          <w:rFonts w:eastAsia="Arial"/>
          <w:bCs/>
          <w:color w:val="auto"/>
          <w:kern w:val="0"/>
          <w:sz w:val="28"/>
          <w:szCs w:val="28"/>
          <w14:ligatures w14:val="none"/>
        </w:rPr>
        <w:t xml:space="preserve"> addressed.</w:t>
      </w:r>
    </w:p>
    <w:p w14:paraId="132EFD86" w14:textId="77777777" w:rsidR="00752541" w:rsidRDefault="00752541" w:rsidP="00752541">
      <w:pPr>
        <w:spacing w:before="120" w:after="240" w:line="480" w:lineRule="auto"/>
        <w:ind w:left="720" w:right="720"/>
        <w:rPr>
          <w:rFonts w:eastAsia="Arial"/>
          <w:bCs/>
          <w:color w:val="auto"/>
          <w:kern w:val="0"/>
          <w:sz w:val="28"/>
          <w:szCs w:val="28"/>
          <w14:ligatures w14:val="none"/>
        </w:rPr>
      </w:pPr>
      <w:r w:rsidRPr="00752541">
        <w:rPr>
          <w:rFonts w:eastAsia="Arial"/>
          <w:bCs/>
          <w:color w:val="auto"/>
          <w:kern w:val="0"/>
          <w:sz w:val="28"/>
          <w:szCs w:val="28"/>
          <w14:ligatures w14:val="none"/>
        </w:rPr>
        <w:t xml:space="preserve">Where co-defendants are facing trial and one (or several) co-defendant made a custodial statement that implicated one or more of </w:t>
      </w:r>
      <w:r w:rsidRPr="00752541">
        <w:rPr>
          <w:rFonts w:eastAsia="Arial"/>
          <w:bCs/>
          <w:color w:val="auto"/>
          <w:kern w:val="0"/>
          <w:sz w:val="28"/>
          <w:szCs w:val="28"/>
          <w14:ligatures w14:val="none"/>
        </w:rPr>
        <w:lastRenderedPageBreak/>
        <w:t xml:space="preserve">the co-defendants, a real legal conundrum of constitutional proportions arises.  </w:t>
      </w:r>
    </w:p>
    <w:p w14:paraId="5A641A28" w14:textId="683267DB" w:rsidR="00752541" w:rsidRDefault="00752541" w:rsidP="00752541">
      <w:pPr>
        <w:spacing w:before="120" w:after="240" w:line="480" w:lineRule="auto"/>
        <w:ind w:right="720"/>
        <w:rPr>
          <w:rFonts w:eastAsia="Arial"/>
          <w:bCs/>
          <w:color w:val="auto"/>
          <w:kern w:val="0"/>
          <w:sz w:val="28"/>
          <w:szCs w:val="28"/>
          <w14:ligatures w14:val="none"/>
        </w:rPr>
      </w:pPr>
      <w:r w:rsidRPr="00752541">
        <w:rPr>
          <w:rFonts w:eastAsia="Arial"/>
          <w:bCs/>
          <w:color w:val="auto"/>
          <w:kern w:val="0"/>
          <w:sz w:val="28"/>
          <w:szCs w:val="28"/>
          <w14:ligatures w14:val="none"/>
        </w:rPr>
        <w:t xml:space="preserve">All criminal defendants have a Sixth Amendment right to confront witnesses.  </w:t>
      </w:r>
      <w:r w:rsidR="00B7006F">
        <w:rPr>
          <w:rFonts w:eastAsia="Arial"/>
          <w:bCs/>
          <w:color w:val="auto"/>
          <w:kern w:val="0"/>
          <w:sz w:val="28"/>
          <w:szCs w:val="28"/>
          <w14:ligatures w14:val="none"/>
        </w:rPr>
        <w:t xml:space="preserve">Remember the </w:t>
      </w:r>
      <w:r w:rsidR="00B7006F">
        <w:rPr>
          <w:rFonts w:eastAsia="Arial"/>
          <w:bCs/>
          <w:i/>
          <w:iCs/>
          <w:color w:val="auto"/>
          <w:kern w:val="0"/>
          <w:sz w:val="28"/>
          <w:szCs w:val="28"/>
          <w14:ligatures w14:val="none"/>
        </w:rPr>
        <w:t>Crawford</w:t>
      </w:r>
      <w:r w:rsidR="00B7006F">
        <w:rPr>
          <w:rFonts w:eastAsia="Arial"/>
          <w:bCs/>
          <w:color w:val="auto"/>
          <w:kern w:val="0"/>
          <w:sz w:val="28"/>
          <w:szCs w:val="28"/>
          <w14:ligatures w14:val="none"/>
        </w:rPr>
        <w:t xml:space="preserve"> rule we have discussed extensively in prior episodes?  Is arises here also.</w:t>
      </w:r>
      <w:r w:rsidR="007E60C0">
        <w:rPr>
          <w:rStyle w:val="EndnoteReference"/>
          <w:rFonts w:eastAsia="Arial"/>
          <w:bCs/>
          <w:kern w:val="0"/>
          <w:szCs w:val="28"/>
          <w14:ligatures w14:val="none"/>
        </w:rPr>
        <w:endnoteReference w:id="12"/>
      </w:r>
    </w:p>
    <w:p w14:paraId="08FD6B20" w14:textId="5B43BF51" w:rsidR="007E60C0" w:rsidRPr="00B7006F" w:rsidRDefault="007E60C0" w:rsidP="007E60C0">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(It is really difficult when one shorthand reference to a case implicates another shorthand reference to a case)</w:t>
      </w:r>
    </w:p>
    <w:p w14:paraId="0218D856" w14:textId="77777777" w:rsidR="00752541" w:rsidRDefault="00752541" w:rsidP="007E60C0">
      <w:pPr>
        <w:spacing w:before="120" w:after="240" w:line="480" w:lineRule="auto"/>
        <w:ind w:right="720"/>
        <w:rPr>
          <w:rFonts w:eastAsia="Arial"/>
          <w:bCs/>
          <w:color w:val="auto"/>
          <w:kern w:val="0"/>
          <w:sz w:val="28"/>
          <w:szCs w:val="28"/>
          <w14:ligatures w14:val="none"/>
        </w:rPr>
      </w:pPr>
      <w:r w:rsidRPr="00752541">
        <w:rPr>
          <w:rFonts w:eastAsia="Arial"/>
          <w:bCs/>
          <w:color w:val="auto"/>
          <w:kern w:val="0"/>
          <w:sz w:val="28"/>
          <w:szCs w:val="28"/>
          <w14:ligatures w14:val="none"/>
        </w:rPr>
        <w:t xml:space="preserve">If the co-defendant’s custodial statement is presented to the jury, the remaining co-defendants have no ability to force the co-defendant who made the statement to testify.  </w:t>
      </w:r>
    </w:p>
    <w:p w14:paraId="634A2AAF" w14:textId="77777777" w:rsidR="00752541" w:rsidRDefault="00752541" w:rsidP="007E60C0">
      <w:pPr>
        <w:spacing w:before="120" w:after="240" w:line="480" w:lineRule="auto"/>
        <w:ind w:left="720" w:right="720"/>
        <w:rPr>
          <w:rFonts w:eastAsia="Arial"/>
          <w:bCs/>
          <w:color w:val="auto"/>
          <w:kern w:val="0"/>
          <w:sz w:val="28"/>
          <w:szCs w:val="28"/>
          <w14:ligatures w14:val="none"/>
        </w:rPr>
      </w:pPr>
      <w:r w:rsidRPr="00752541">
        <w:rPr>
          <w:rFonts w:eastAsia="Arial"/>
          <w:bCs/>
          <w:color w:val="auto"/>
          <w:kern w:val="0"/>
          <w:sz w:val="28"/>
          <w:szCs w:val="28"/>
          <w14:ligatures w14:val="none"/>
        </w:rPr>
        <w:t xml:space="preserve">Therefore, under the decision in </w:t>
      </w:r>
      <w:r w:rsidRPr="00752541">
        <w:rPr>
          <w:rFonts w:eastAsia="Arial"/>
          <w:bCs/>
          <w:i/>
          <w:iCs/>
          <w:color w:val="auto"/>
          <w:kern w:val="0"/>
          <w:sz w:val="28"/>
          <w:szCs w:val="28"/>
          <w14:ligatures w14:val="none"/>
        </w:rPr>
        <w:t>Bruton</w:t>
      </w:r>
      <w:r w:rsidRPr="00752541">
        <w:rPr>
          <w:rFonts w:eastAsia="Arial"/>
          <w:bCs/>
          <w:color w:val="auto"/>
          <w:kern w:val="0"/>
          <w:sz w:val="28"/>
          <w:szCs w:val="28"/>
          <w14:ligatures w14:val="none"/>
        </w:rPr>
        <w:t xml:space="preserve">, the co-defendants who did not make the custodial statement will ask the trial court to exclude the statement as being violative of their Sixth Amendment confrontation rights.  </w:t>
      </w:r>
    </w:p>
    <w:p w14:paraId="6C43FCA3" w14:textId="0E30055B" w:rsidR="00752541" w:rsidRDefault="00752541" w:rsidP="007E60C0">
      <w:pPr>
        <w:spacing w:before="120" w:after="240" w:line="480" w:lineRule="auto"/>
        <w:ind w:right="720"/>
        <w:rPr>
          <w:rFonts w:eastAsia="Arial"/>
          <w:bCs/>
          <w:color w:val="auto"/>
          <w:kern w:val="0"/>
          <w:sz w:val="28"/>
          <w:szCs w:val="28"/>
          <w14:ligatures w14:val="none"/>
        </w:rPr>
      </w:pPr>
      <w:r w:rsidRPr="00752541">
        <w:rPr>
          <w:rFonts w:eastAsia="Arial"/>
          <w:bCs/>
          <w:color w:val="auto"/>
          <w:kern w:val="0"/>
          <w:sz w:val="28"/>
          <w:szCs w:val="28"/>
          <w14:ligatures w14:val="none"/>
        </w:rPr>
        <w:t xml:space="preserve">The cases involving and interpreting </w:t>
      </w:r>
      <w:r w:rsidRPr="00752541">
        <w:rPr>
          <w:rFonts w:eastAsia="Arial"/>
          <w:bCs/>
          <w:i/>
          <w:color w:val="auto"/>
          <w:kern w:val="0"/>
          <w:sz w:val="28"/>
          <w:szCs w:val="28"/>
          <w14:ligatures w14:val="none"/>
        </w:rPr>
        <w:t>Bruton</w:t>
      </w:r>
      <w:r w:rsidRPr="00752541">
        <w:rPr>
          <w:rFonts w:eastAsia="Arial"/>
          <w:bCs/>
          <w:color w:val="auto"/>
          <w:kern w:val="0"/>
          <w:sz w:val="28"/>
          <w:szCs w:val="28"/>
          <w14:ligatures w14:val="none"/>
        </w:rPr>
        <w:t xml:space="preserve"> seem inconsistent at times which makes identification of “black letter law” in this area difficult.</w:t>
      </w:r>
    </w:p>
    <w:p w14:paraId="51749425" w14:textId="7A0403C0" w:rsidR="00752541" w:rsidRDefault="00752541" w:rsidP="0075254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 xml:space="preserve">The Ga. Supreme Court has noted some of these inconsistent appellate decisions and recently noted that the historical solution to a </w:t>
      </w:r>
      <w:r>
        <w:rPr>
          <w:rFonts w:eastAsia="Arial"/>
          <w:bCs/>
          <w:i/>
          <w:iCs/>
          <w:color w:val="auto"/>
          <w:kern w:val="0"/>
          <w:sz w:val="28"/>
          <w:szCs w:val="28"/>
          <w14:ligatures w14:val="none"/>
        </w:rPr>
        <w:t>Bruton</w:t>
      </w:r>
      <w:r>
        <w:rPr>
          <w:rFonts w:eastAsia="Arial"/>
          <w:bCs/>
          <w:color w:val="auto"/>
          <w:kern w:val="0"/>
          <w:sz w:val="28"/>
          <w:szCs w:val="28"/>
          <w14:ligatures w14:val="none"/>
        </w:rPr>
        <w:t xml:space="preserve"> problem was to use a limiting instruction – telling the jury that </w:t>
      </w:r>
      <w:r w:rsidR="005273E6">
        <w:rPr>
          <w:rFonts w:eastAsia="Arial"/>
          <w:bCs/>
          <w:color w:val="auto"/>
          <w:kern w:val="0"/>
          <w:sz w:val="28"/>
          <w:szCs w:val="28"/>
          <w14:ligatures w14:val="none"/>
        </w:rPr>
        <w:t>the statement is only admissible against the maker of the statement</w:t>
      </w:r>
      <w:r w:rsidR="005273E6">
        <w:rPr>
          <w:rStyle w:val="EndnoteReference"/>
          <w:rFonts w:eastAsia="Arial"/>
          <w:bCs/>
          <w:kern w:val="0"/>
          <w:szCs w:val="28"/>
          <w14:ligatures w14:val="none"/>
        </w:rPr>
        <w:endnoteReference w:id="13"/>
      </w:r>
    </w:p>
    <w:p w14:paraId="7197DFA7" w14:textId="39544315" w:rsidR="005273E6" w:rsidRDefault="005273E6" w:rsidP="005273E6">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I think we all – </w:t>
      </w:r>
      <w:proofErr w:type="spellStart"/>
      <w:r>
        <w:rPr>
          <w:rFonts w:eastAsia="Arial"/>
          <w:bCs/>
          <w:color w:val="auto"/>
          <w:kern w:val="0"/>
          <w:sz w:val="28"/>
          <w:szCs w:val="28"/>
          <w14:ligatures w14:val="none"/>
        </w:rPr>
        <w:t>ummmm</w:t>
      </w:r>
      <w:proofErr w:type="spellEnd"/>
      <w:r>
        <w:rPr>
          <w:rFonts w:eastAsia="Arial"/>
          <w:bCs/>
          <w:color w:val="auto"/>
          <w:kern w:val="0"/>
          <w:sz w:val="28"/>
          <w:szCs w:val="28"/>
          <w14:ligatures w14:val="none"/>
        </w:rPr>
        <w:t xml:space="preserve"> – </w:t>
      </w:r>
      <w:r w:rsidR="007E60C0">
        <w:rPr>
          <w:rFonts w:eastAsia="Arial"/>
          <w:bCs/>
          <w:color w:val="auto"/>
          <w:kern w:val="0"/>
          <w:sz w:val="28"/>
          <w:szCs w:val="28"/>
          <w14:ligatures w14:val="none"/>
        </w:rPr>
        <w:t>“</w:t>
      </w:r>
      <w:r>
        <w:rPr>
          <w:rFonts w:eastAsia="Arial"/>
          <w:bCs/>
          <w:color w:val="auto"/>
          <w:kern w:val="0"/>
          <w:sz w:val="28"/>
          <w:szCs w:val="28"/>
          <w14:ligatures w14:val="none"/>
        </w:rPr>
        <w:t>question</w:t>
      </w:r>
      <w:r w:rsidR="007E60C0">
        <w:rPr>
          <w:rFonts w:eastAsia="Arial"/>
          <w:bCs/>
          <w:color w:val="auto"/>
          <w:kern w:val="0"/>
          <w:sz w:val="28"/>
          <w:szCs w:val="28"/>
          <w14:ligatures w14:val="none"/>
        </w:rPr>
        <w:t>”</w:t>
      </w:r>
      <w:r>
        <w:rPr>
          <w:rFonts w:eastAsia="Arial"/>
          <w:bCs/>
          <w:color w:val="auto"/>
          <w:kern w:val="0"/>
          <w:sz w:val="28"/>
          <w:szCs w:val="28"/>
          <w14:ligatures w14:val="none"/>
        </w:rPr>
        <w:t xml:space="preserve"> just how effective a limiting instruction is - here and at other times when we are asked to make limiting instructions</w:t>
      </w:r>
    </w:p>
    <w:p w14:paraId="7E38CFE4" w14:textId="1129DDB5" w:rsidR="005273E6" w:rsidRDefault="005273E6" w:rsidP="005273E6">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And the Ga. Supreme Court addressed this topic recently and said giving a limiting instruction as a “cure” to a </w:t>
      </w:r>
      <w:r>
        <w:rPr>
          <w:rFonts w:eastAsia="Arial"/>
          <w:bCs/>
          <w:i/>
          <w:iCs/>
          <w:color w:val="auto"/>
          <w:kern w:val="0"/>
          <w:sz w:val="28"/>
          <w:szCs w:val="28"/>
          <w14:ligatures w14:val="none"/>
        </w:rPr>
        <w:t>Bruton</w:t>
      </w:r>
      <w:r>
        <w:rPr>
          <w:rFonts w:eastAsia="Arial"/>
          <w:bCs/>
          <w:color w:val="auto"/>
          <w:kern w:val="0"/>
          <w:sz w:val="28"/>
          <w:szCs w:val="28"/>
          <w14:ligatures w14:val="none"/>
        </w:rPr>
        <w:t xml:space="preserve"> problem is “not quite as easy” as suggested by the U.S. Supreme Court.</w:t>
      </w:r>
      <w:r>
        <w:rPr>
          <w:rStyle w:val="EndnoteReference"/>
          <w:rFonts w:eastAsia="Arial"/>
          <w:bCs/>
          <w:kern w:val="0"/>
          <w:szCs w:val="28"/>
          <w14:ligatures w14:val="none"/>
        </w:rPr>
        <w:endnoteReference w:id="14"/>
      </w:r>
    </w:p>
    <w:p w14:paraId="5FF65660" w14:textId="3E1F1E92" w:rsidR="00BB4ABC" w:rsidRDefault="00BB4ABC" w:rsidP="00BB4ABC">
      <w:pPr>
        <w:spacing w:before="120" w:after="240" w:line="480" w:lineRule="auto"/>
        <w:ind w:left="720" w:right="720"/>
        <w:rPr>
          <w:rFonts w:eastAsia="Arial"/>
          <w:bCs/>
          <w:color w:val="auto"/>
          <w:kern w:val="0"/>
          <w:sz w:val="28"/>
          <w:szCs w:val="28"/>
          <w14:ligatures w14:val="none"/>
        </w:rPr>
      </w:pPr>
      <w:r w:rsidRPr="00BB4ABC">
        <w:rPr>
          <w:rFonts w:eastAsia="Arial"/>
          <w:bCs/>
          <w:color w:val="auto"/>
          <w:kern w:val="0"/>
          <w:sz w:val="28"/>
          <w:szCs w:val="28"/>
          <w14:ligatures w14:val="none"/>
        </w:rPr>
        <w:t xml:space="preserve">Georgia law has consistently held that </w:t>
      </w:r>
      <w:r w:rsidRPr="00BB4ABC">
        <w:rPr>
          <w:rFonts w:eastAsia="Arial"/>
          <w:bCs/>
          <w:i/>
          <w:iCs/>
          <w:color w:val="auto"/>
          <w:kern w:val="0"/>
          <w:sz w:val="28"/>
          <w:szCs w:val="28"/>
          <w14:ligatures w14:val="none"/>
        </w:rPr>
        <w:t>Bruton</w:t>
      </w:r>
      <w:r w:rsidRPr="00BB4ABC">
        <w:rPr>
          <w:rFonts w:eastAsia="Arial"/>
          <w:bCs/>
          <w:color w:val="auto"/>
          <w:kern w:val="0"/>
          <w:sz w:val="28"/>
          <w:szCs w:val="28"/>
          <w14:ligatures w14:val="none"/>
        </w:rPr>
        <w:t xml:space="preserve"> “excludes only a statement of a non-testifying co-defendant that, standing alone, ‘directly inculpates’ the defendant, </w:t>
      </w:r>
      <w:r w:rsidRPr="00BB4ABC">
        <w:rPr>
          <w:rFonts w:eastAsia="Arial"/>
          <w:bCs/>
          <w:i/>
          <w:iCs/>
          <w:color w:val="auto"/>
          <w:kern w:val="0"/>
          <w:sz w:val="28"/>
          <w:szCs w:val="28"/>
          <w14:ligatures w14:val="none"/>
        </w:rPr>
        <w:t>Simpkins v. State</w:t>
      </w:r>
      <w:r w:rsidRPr="00BB4ABC">
        <w:rPr>
          <w:rFonts w:eastAsia="Arial"/>
          <w:bCs/>
          <w:color w:val="auto"/>
          <w:kern w:val="0"/>
          <w:sz w:val="28"/>
          <w:szCs w:val="28"/>
          <w14:ligatures w14:val="none"/>
        </w:rPr>
        <w:t>, 303 Ga. 752, 755  (2018) (quoting </w:t>
      </w:r>
      <w:r w:rsidRPr="00BB4ABC">
        <w:rPr>
          <w:rFonts w:eastAsia="Arial"/>
          <w:bCs/>
          <w:i/>
          <w:iCs/>
          <w:color w:val="auto"/>
          <w:kern w:val="0"/>
          <w:sz w:val="28"/>
          <w:szCs w:val="28"/>
          <w14:ligatures w14:val="none"/>
        </w:rPr>
        <w:t>Thomas v. State</w:t>
      </w:r>
      <w:r w:rsidRPr="00BB4ABC">
        <w:rPr>
          <w:rFonts w:eastAsia="Arial"/>
          <w:bCs/>
          <w:color w:val="auto"/>
          <w:kern w:val="0"/>
          <w:sz w:val="28"/>
          <w:szCs w:val="28"/>
          <w14:ligatures w14:val="none"/>
        </w:rPr>
        <w:t>, 300 Ga. 433, 439  (2017)), but not an out-of-court statement that does not incriminate the defendant unless ‘linked with other evidence at trial.’”</w:t>
      </w:r>
      <w:r w:rsidRPr="00BB4ABC">
        <w:rPr>
          <w:rFonts w:eastAsia="Arial"/>
          <w:b/>
          <w:bCs/>
          <w:color w:val="auto"/>
          <w:kern w:val="0"/>
          <w:sz w:val="28"/>
          <w:szCs w:val="28"/>
          <w:vertAlign w:val="superscript"/>
          <w14:ligatures w14:val="none"/>
        </w:rPr>
        <w:endnoteReference w:id="15"/>
      </w:r>
    </w:p>
    <w:p w14:paraId="52FFBFE1" w14:textId="77777777" w:rsidR="00A443C0" w:rsidRDefault="00A443C0" w:rsidP="007E60C0">
      <w:pPr>
        <w:spacing w:before="120" w:after="240" w:line="480" w:lineRule="auto"/>
        <w:ind w:right="720"/>
        <w:rPr>
          <w:rFonts w:eastAsia="Arial"/>
          <w:bCs/>
          <w:color w:val="auto"/>
          <w:kern w:val="0"/>
          <w:sz w:val="28"/>
          <w:szCs w:val="28"/>
          <w14:ligatures w14:val="none"/>
        </w:rPr>
      </w:pPr>
      <w:r w:rsidRPr="00A443C0">
        <w:rPr>
          <w:rFonts w:eastAsia="Arial"/>
          <w:bCs/>
          <w:color w:val="auto"/>
          <w:kern w:val="0"/>
          <w:sz w:val="28"/>
          <w:szCs w:val="28"/>
          <w14:ligatures w14:val="none"/>
        </w:rPr>
        <w:t xml:space="preserve">Stated another way, there are some basic requirements before a statement can potentially pose a Bruton problem. </w:t>
      </w:r>
    </w:p>
    <w:p w14:paraId="233A0F0C" w14:textId="6D899AAD" w:rsidR="00A443C0" w:rsidRDefault="00A443C0" w:rsidP="00A443C0">
      <w:pPr>
        <w:spacing w:before="120" w:after="240" w:line="480" w:lineRule="auto"/>
        <w:ind w:left="720" w:right="720"/>
        <w:rPr>
          <w:rFonts w:eastAsia="Arial"/>
          <w:bCs/>
          <w:color w:val="auto"/>
          <w:kern w:val="0"/>
          <w:sz w:val="28"/>
          <w:szCs w:val="28"/>
          <w14:ligatures w14:val="none"/>
        </w:rPr>
      </w:pPr>
      <w:r w:rsidRPr="00A443C0">
        <w:rPr>
          <w:rFonts w:eastAsia="Arial"/>
          <w:bCs/>
          <w:color w:val="auto"/>
          <w:kern w:val="0"/>
          <w:sz w:val="28"/>
          <w:szCs w:val="28"/>
          <w14:ligatures w14:val="none"/>
        </w:rPr>
        <w:lastRenderedPageBreak/>
        <w:t>The statement made by the co-defendant, standing alone, must clearly inculpate the defendant.</w:t>
      </w:r>
      <w:r w:rsidRPr="00A443C0">
        <w:rPr>
          <w:rFonts w:eastAsia="Arial"/>
          <w:b/>
          <w:bCs/>
          <w:color w:val="auto"/>
          <w:kern w:val="0"/>
          <w:sz w:val="28"/>
          <w:szCs w:val="28"/>
          <w:vertAlign w:val="superscript"/>
          <w14:ligatures w14:val="none"/>
        </w:rPr>
        <w:endnoteReference w:id="16"/>
      </w:r>
    </w:p>
    <w:p w14:paraId="3E05A00B" w14:textId="68FBE982" w:rsidR="00BB4ABC" w:rsidRDefault="00BB4ABC" w:rsidP="00BB4ABC">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If a juror can eventually put together the evidence that the “other person” being referenced in the co-defendant’s statement is “Defendant #2,” that is NOT a </w:t>
      </w:r>
      <w:r>
        <w:rPr>
          <w:rFonts w:eastAsia="Arial"/>
          <w:bCs/>
          <w:i/>
          <w:iCs/>
          <w:color w:val="auto"/>
          <w:kern w:val="0"/>
          <w:sz w:val="28"/>
          <w:szCs w:val="28"/>
          <w14:ligatures w14:val="none"/>
        </w:rPr>
        <w:t>Bruton</w:t>
      </w:r>
      <w:r>
        <w:rPr>
          <w:rFonts w:eastAsia="Arial"/>
          <w:bCs/>
          <w:color w:val="auto"/>
          <w:kern w:val="0"/>
          <w:sz w:val="28"/>
          <w:szCs w:val="28"/>
          <w14:ligatures w14:val="none"/>
        </w:rPr>
        <w:t xml:space="preserve"> problem.</w:t>
      </w:r>
    </w:p>
    <w:p w14:paraId="2460A4A6" w14:textId="5DAA7E57" w:rsidR="00A443C0" w:rsidRDefault="00A443C0" w:rsidP="00A443C0">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It is a problem for Defendant #2</w:t>
      </w:r>
      <w:r w:rsidR="007B0CF3">
        <w:rPr>
          <w:rFonts w:eastAsia="Arial"/>
          <w:bCs/>
          <w:color w:val="auto"/>
          <w:kern w:val="0"/>
          <w:sz w:val="28"/>
          <w:szCs w:val="28"/>
          <w14:ligatures w14:val="none"/>
        </w:rPr>
        <w:t>,</w:t>
      </w:r>
      <w:r>
        <w:rPr>
          <w:rFonts w:eastAsia="Arial"/>
          <w:bCs/>
          <w:color w:val="auto"/>
          <w:kern w:val="0"/>
          <w:sz w:val="28"/>
          <w:szCs w:val="28"/>
          <w14:ligatures w14:val="none"/>
        </w:rPr>
        <w:t xml:space="preserve"> but not for admissibility of the statement</w:t>
      </w:r>
    </w:p>
    <w:p w14:paraId="5BDAF09C" w14:textId="705D9275" w:rsidR="00BB4ABC" w:rsidRDefault="00BB4ABC" w:rsidP="00A443C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So redacting the statement of the co-defendant to remove any reference to another co-defendant by name, nickname, etc. “cures” a </w:t>
      </w:r>
      <w:r>
        <w:rPr>
          <w:rFonts w:eastAsia="Arial"/>
          <w:bCs/>
          <w:i/>
          <w:iCs/>
          <w:color w:val="auto"/>
          <w:kern w:val="0"/>
          <w:sz w:val="28"/>
          <w:szCs w:val="28"/>
          <w14:ligatures w14:val="none"/>
        </w:rPr>
        <w:t>Bruton</w:t>
      </w:r>
      <w:r>
        <w:rPr>
          <w:rFonts w:eastAsia="Arial"/>
          <w:bCs/>
          <w:color w:val="auto"/>
          <w:kern w:val="0"/>
          <w:sz w:val="28"/>
          <w:szCs w:val="28"/>
          <w14:ligatures w14:val="none"/>
        </w:rPr>
        <w:t xml:space="preserve"> problem</w:t>
      </w:r>
    </w:p>
    <w:p w14:paraId="037DDCCD" w14:textId="77777777" w:rsidR="00A443C0" w:rsidRDefault="00A443C0" w:rsidP="007B0CF3">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But the redaction must remove any reference to another co-defendant by name, nickname, </w:t>
      </w:r>
      <w:r w:rsidRPr="00A443C0">
        <w:rPr>
          <w:rFonts w:eastAsia="Arial"/>
          <w:bCs/>
          <w:color w:val="auto"/>
          <w:kern w:val="0"/>
          <w:sz w:val="28"/>
          <w:szCs w:val="28"/>
          <w14:ligatures w14:val="none"/>
        </w:rPr>
        <w:t xml:space="preserve">or in any manner other than “another individual” or a similar non-identifying pronoun, the statement can be admitted without violating </w:t>
      </w:r>
      <w:r w:rsidRPr="007B0CF3">
        <w:rPr>
          <w:rFonts w:eastAsia="Arial"/>
          <w:bCs/>
          <w:color w:val="auto"/>
          <w:kern w:val="0"/>
          <w:sz w:val="28"/>
          <w:szCs w:val="28"/>
          <w14:ligatures w14:val="none"/>
        </w:rPr>
        <w:t>Bruton</w:t>
      </w:r>
      <w:r w:rsidRPr="00A443C0">
        <w:rPr>
          <w:rFonts w:eastAsia="Arial"/>
          <w:bCs/>
          <w:color w:val="auto"/>
          <w:kern w:val="0"/>
          <w:sz w:val="28"/>
          <w:szCs w:val="28"/>
          <w14:ligatures w14:val="none"/>
        </w:rPr>
        <w:t>.</w:t>
      </w:r>
      <w:r w:rsidRPr="007B0CF3">
        <w:rPr>
          <w:rStyle w:val="EndnoteReference"/>
        </w:rPr>
        <w:endnoteReference w:id="17"/>
      </w:r>
      <w:r w:rsidRPr="007B0CF3">
        <w:rPr>
          <w:rStyle w:val="EndnoteReference"/>
        </w:rPr>
        <w:t xml:space="preserve"> </w:t>
      </w:r>
      <w:r w:rsidRPr="00A443C0">
        <w:rPr>
          <w:rFonts w:eastAsia="Arial"/>
          <w:bCs/>
          <w:color w:val="auto"/>
          <w:kern w:val="0"/>
          <w:sz w:val="28"/>
          <w:szCs w:val="28"/>
          <w14:ligatures w14:val="none"/>
        </w:rPr>
        <w:t xml:space="preserve"> </w:t>
      </w:r>
    </w:p>
    <w:p w14:paraId="2547C5C7" w14:textId="77777777" w:rsidR="007359EE" w:rsidRDefault="00BE425E" w:rsidP="00BE425E">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It is blatantly insufficient for the redaction to replace the name of co-defendants with blank spaces</w:t>
      </w:r>
      <w:r w:rsidRPr="00BE425E">
        <w:rPr>
          <w:rFonts w:eastAsia="Arial"/>
          <w:b/>
          <w:bCs/>
          <w:color w:val="auto"/>
          <w:kern w:val="0"/>
          <w:sz w:val="28"/>
          <w:szCs w:val="28"/>
          <w:vertAlign w:val="superscript"/>
          <w14:ligatures w14:val="none"/>
        </w:rPr>
        <w:endnoteReference w:id="18"/>
      </w:r>
      <w:r>
        <w:rPr>
          <w:rFonts w:eastAsia="Arial"/>
          <w:bCs/>
          <w:color w:val="auto"/>
          <w:kern w:val="0"/>
          <w:sz w:val="28"/>
          <w:szCs w:val="28"/>
          <w14:ligatures w14:val="none"/>
        </w:rPr>
        <w:t xml:space="preserve"> </w:t>
      </w:r>
    </w:p>
    <w:p w14:paraId="32779AA5" w14:textId="57A30D72" w:rsidR="00BE425E" w:rsidRDefault="00BE425E" w:rsidP="007359EE">
      <w:pPr>
        <w:spacing w:before="120" w:after="240" w:line="480" w:lineRule="auto"/>
        <w:ind w:left="720" w:right="720"/>
        <w:rPr>
          <w:rFonts w:eastAsia="Arial"/>
          <w:bCs/>
          <w:color w:val="auto"/>
          <w:kern w:val="0"/>
          <w:sz w:val="28"/>
          <w:szCs w:val="28"/>
          <w14:ligatures w14:val="none"/>
        </w:rPr>
      </w:pPr>
      <w:r w:rsidRPr="00BE425E">
        <w:rPr>
          <w:rFonts w:eastAsia="Arial"/>
          <w:bCs/>
          <w:color w:val="auto"/>
          <w:kern w:val="0"/>
          <w:sz w:val="28"/>
          <w:szCs w:val="28"/>
          <w14:ligatures w14:val="none"/>
        </w:rPr>
        <w:lastRenderedPageBreak/>
        <w:t xml:space="preserve">The U.S. Supreme Court found that replacing the name of the co-defendant with a blank space or the word “deleted” or similar attempts at redaction do not cure a </w:t>
      </w:r>
      <w:r w:rsidRPr="00BE425E">
        <w:rPr>
          <w:rFonts w:eastAsia="Arial"/>
          <w:bCs/>
          <w:i/>
          <w:color w:val="auto"/>
          <w:kern w:val="0"/>
          <w:sz w:val="28"/>
          <w:szCs w:val="28"/>
          <w14:ligatures w14:val="none"/>
        </w:rPr>
        <w:t>Bruton</w:t>
      </w:r>
      <w:r w:rsidRPr="00BE425E">
        <w:rPr>
          <w:rFonts w:eastAsia="Arial"/>
          <w:bCs/>
          <w:color w:val="auto"/>
          <w:kern w:val="0"/>
          <w:sz w:val="28"/>
          <w:szCs w:val="28"/>
          <w14:ligatures w14:val="none"/>
        </w:rPr>
        <w:t xml:space="preserve"> violation.</w:t>
      </w:r>
      <w:r w:rsidRPr="00BE425E">
        <w:rPr>
          <w:rFonts w:eastAsia="Arial"/>
          <w:b/>
          <w:bCs/>
          <w:color w:val="auto"/>
          <w:kern w:val="0"/>
          <w:sz w:val="28"/>
          <w:szCs w:val="28"/>
          <w:vertAlign w:val="superscript"/>
          <w14:ligatures w14:val="none"/>
        </w:rPr>
        <w:endnoteReference w:id="19"/>
      </w:r>
    </w:p>
    <w:p w14:paraId="4CAE61B1" w14:textId="72D2290D" w:rsidR="00A443C0" w:rsidRDefault="00A443C0" w:rsidP="00A443C0">
      <w:pPr>
        <w:spacing w:before="120" w:after="240" w:line="480" w:lineRule="auto"/>
        <w:ind w:right="720"/>
        <w:rPr>
          <w:rFonts w:eastAsia="Arial"/>
          <w:bCs/>
          <w:color w:val="auto"/>
          <w:kern w:val="0"/>
          <w:sz w:val="28"/>
          <w:szCs w:val="28"/>
          <w14:ligatures w14:val="none"/>
        </w:rPr>
      </w:pPr>
      <w:r w:rsidRPr="00A443C0">
        <w:rPr>
          <w:rFonts w:eastAsia="Arial"/>
          <w:bCs/>
          <w:color w:val="auto"/>
          <w:kern w:val="0"/>
          <w:sz w:val="28"/>
          <w:szCs w:val="28"/>
          <w14:ligatures w14:val="none"/>
        </w:rPr>
        <w:t>If the statement cannot be redacted in a manner that removes any identifying references to a co-defendant, it cannot be admitted.</w:t>
      </w:r>
    </w:p>
    <w:p w14:paraId="47FDCE47" w14:textId="795BADFB" w:rsidR="007B0CF3" w:rsidRDefault="007B0CF3" w:rsidP="00A443C0">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19269CD7">
          <v:rect id="_x0000_i1049" style="width:0;height:1.5pt" o:hralign="center" o:bullet="t" o:hrstd="t" o:hr="t" fillcolor="#a0a0a0" stroked="f"/>
        </w:pict>
      </w:r>
    </w:p>
    <w:p w14:paraId="0B103F40" w14:textId="2D66A028" w:rsidR="007B0CF3" w:rsidRDefault="0079655E" w:rsidP="00A443C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We all realize that an underlying premise of </w:t>
      </w:r>
      <w:r>
        <w:rPr>
          <w:rFonts w:eastAsia="Arial"/>
          <w:bCs/>
          <w:i/>
          <w:iCs/>
          <w:color w:val="auto"/>
          <w:kern w:val="0"/>
          <w:sz w:val="28"/>
          <w:szCs w:val="28"/>
          <w14:ligatures w14:val="none"/>
        </w:rPr>
        <w:t>Bruton</w:t>
      </w:r>
      <w:r>
        <w:rPr>
          <w:rFonts w:eastAsia="Arial"/>
          <w:bCs/>
          <w:color w:val="auto"/>
          <w:kern w:val="0"/>
          <w:sz w:val="28"/>
          <w:szCs w:val="28"/>
          <w14:ligatures w14:val="none"/>
        </w:rPr>
        <w:t xml:space="preserve"> is that the defendant who made the statement does not testify – thereby creating the 6</w:t>
      </w:r>
      <w:r w:rsidRPr="0079655E">
        <w:rPr>
          <w:rFonts w:eastAsia="Arial"/>
          <w:bCs/>
          <w:color w:val="auto"/>
          <w:kern w:val="0"/>
          <w:sz w:val="28"/>
          <w:szCs w:val="28"/>
          <w:vertAlign w:val="superscript"/>
          <w14:ligatures w14:val="none"/>
        </w:rPr>
        <w:t>th</w:t>
      </w:r>
      <w:r>
        <w:rPr>
          <w:rFonts w:eastAsia="Arial"/>
          <w:bCs/>
          <w:color w:val="auto"/>
          <w:kern w:val="0"/>
          <w:sz w:val="28"/>
          <w:szCs w:val="28"/>
          <w14:ligatures w14:val="none"/>
        </w:rPr>
        <w:t xml:space="preserve"> Amendment problem</w:t>
      </w:r>
    </w:p>
    <w:p w14:paraId="01CEFEB4" w14:textId="19C0BCEA" w:rsidR="0079655E" w:rsidRPr="00BE425E" w:rsidRDefault="0079655E" w:rsidP="0079655E">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So at a pretrial hearing, the defendant who made the statement assures the court that he/she will be testifying at trial</w:t>
      </w:r>
      <w:r w:rsidR="00BE425E">
        <w:rPr>
          <w:rFonts w:eastAsia="Arial"/>
          <w:bCs/>
          <w:color w:val="auto"/>
          <w:kern w:val="0"/>
          <w:sz w:val="28"/>
          <w:szCs w:val="28"/>
          <w14:ligatures w14:val="none"/>
        </w:rPr>
        <w:t xml:space="preserve"> – no </w:t>
      </w:r>
      <w:r w:rsidR="00BE425E">
        <w:rPr>
          <w:rFonts w:eastAsia="Arial"/>
          <w:bCs/>
          <w:i/>
          <w:iCs/>
          <w:color w:val="auto"/>
          <w:kern w:val="0"/>
          <w:sz w:val="28"/>
          <w:szCs w:val="28"/>
          <w14:ligatures w14:val="none"/>
        </w:rPr>
        <w:t>Bruton</w:t>
      </w:r>
      <w:r w:rsidR="00BE425E">
        <w:rPr>
          <w:rFonts w:eastAsia="Arial"/>
          <w:bCs/>
          <w:color w:val="auto"/>
          <w:kern w:val="0"/>
          <w:sz w:val="28"/>
          <w:szCs w:val="28"/>
          <w14:ligatures w14:val="none"/>
        </w:rPr>
        <w:t xml:space="preserve"> problem, right?  </w:t>
      </w:r>
      <w:r w:rsidR="00BE425E" w:rsidRPr="007359EE">
        <w:rPr>
          <w:rFonts w:eastAsia="Arial"/>
          <w:b/>
          <w:color w:val="auto"/>
          <w:kern w:val="0"/>
          <w:sz w:val="28"/>
          <w:szCs w:val="28"/>
          <w14:ligatures w14:val="none"/>
        </w:rPr>
        <w:t>WRONG!</w:t>
      </w:r>
    </w:p>
    <w:p w14:paraId="372FF9CA" w14:textId="64377ED1" w:rsidR="0079655E" w:rsidRDefault="0079655E" w:rsidP="0079655E">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That “promise” or “guarantee”</w:t>
      </w:r>
      <w:r w:rsidR="00BE425E">
        <w:rPr>
          <w:rFonts w:eastAsia="Arial"/>
          <w:bCs/>
          <w:color w:val="auto"/>
          <w:kern w:val="0"/>
          <w:sz w:val="28"/>
          <w:szCs w:val="28"/>
          <w14:ligatures w14:val="none"/>
        </w:rPr>
        <w:t xml:space="preserve"> that the maker will testify at trial </w:t>
      </w:r>
      <w:r>
        <w:rPr>
          <w:rFonts w:eastAsia="Arial"/>
          <w:bCs/>
          <w:color w:val="auto"/>
          <w:kern w:val="0"/>
          <w:sz w:val="28"/>
          <w:szCs w:val="28"/>
          <w14:ligatures w14:val="none"/>
        </w:rPr>
        <w:t>CANNOT be relied upon here</w:t>
      </w:r>
    </w:p>
    <w:p w14:paraId="4CFFC81D" w14:textId="15155E7B" w:rsidR="0079655E" w:rsidRDefault="0079655E" w:rsidP="0079655E">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The defendant can change his/her mind up until the time comes for him/her to testify</w:t>
      </w:r>
    </w:p>
    <w:p w14:paraId="0AA69E0D" w14:textId="4F323D3F" w:rsidR="0079655E" w:rsidRDefault="0079655E" w:rsidP="0079655E">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 xml:space="preserve">So in dealing with a </w:t>
      </w:r>
      <w:r>
        <w:rPr>
          <w:rFonts w:eastAsia="Arial"/>
          <w:bCs/>
          <w:i/>
          <w:iCs/>
          <w:color w:val="auto"/>
          <w:kern w:val="0"/>
          <w:sz w:val="28"/>
          <w:szCs w:val="28"/>
          <w14:ligatures w14:val="none"/>
        </w:rPr>
        <w:t>Bruton</w:t>
      </w:r>
      <w:r>
        <w:rPr>
          <w:rFonts w:eastAsia="Arial"/>
          <w:bCs/>
          <w:color w:val="auto"/>
          <w:kern w:val="0"/>
          <w:sz w:val="28"/>
          <w:szCs w:val="28"/>
          <w14:ligatures w14:val="none"/>
        </w:rPr>
        <w:t xml:space="preserve"> issue, the trial judge MUST assume that the maker of the statement will </w:t>
      </w:r>
      <w:r w:rsidRPr="00BE425E">
        <w:rPr>
          <w:rFonts w:eastAsia="Arial"/>
          <w:b/>
          <w:i/>
          <w:iCs/>
          <w:color w:val="auto"/>
          <w:kern w:val="0"/>
          <w:sz w:val="28"/>
          <w:szCs w:val="28"/>
          <w14:ligatures w14:val="none"/>
        </w:rPr>
        <w:t xml:space="preserve">not </w:t>
      </w:r>
      <w:r>
        <w:rPr>
          <w:rFonts w:eastAsia="Arial"/>
          <w:bCs/>
          <w:color w:val="auto"/>
          <w:kern w:val="0"/>
          <w:sz w:val="28"/>
          <w:szCs w:val="28"/>
          <w14:ligatures w14:val="none"/>
        </w:rPr>
        <w:t>testify</w:t>
      </w:r>
    </w:p>
    <w:p w14:paraId="08DB2234" w14:textId="3262A14D" w:rsidR="0079655E" w:rsidRDefault="0079655E" w:rsidP="0079655E">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If, at trial, the maker of the statement actually testifies, then most of the problems created by </w:t>
      </w:r>
      <w:r>
        <w:rPr>
          <w:rFonts w:eastAsia="Arial"/>
          <w:bCs/>
          <w:i/>
          <w:iCs/>
          <w:color w:val="auto"/>
          <w:kern w:val="0"/>
          <w:sz w:val="28"/>
          <w:szCs w:val="28"/>
          <w14:ligatures w14:val="none"/>
        </w:rPr>
        <w:t>Bruton</w:t>
      </w:r>
      <w:r>
        <w:rPr>
          <w:rFonts w:eastAsia="Arial"/>
          <w:bCs/>
          <w:color w:val="auto"/>
          <w:kern w:val="0"/>
          <w:sz w:val="28"/>
          <w:szCs w:val="28"/>
          <w14:ligatures w14:val="none"/>
        </w:rPr>
        <w:t xml:space="preserve"> are cured – but the trial judge cannot operate under a presumption that the maker of the statement will testify</w:t>
      </w:r>
    </w:p>
    <w:p w14:paraId="082D9DD6" w14:textId="2C3C0373" w:rsidR="007359EE" w:rsidRPr="0079655E" w:rsidRDefault="007359EE" w:rsidP="007359EE">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4AD36E51">
          <v:rect id="_x0000_i1050" style="width:0;height:1.5pt" o:hralign="center" o:bullet="t" o:hrstd="t" o:hr="t" fillcolor="#a0a0a0" stroked="f"/>
        </w:pict>
      </w:r>
    </w:p>
    <w:p w14:paraId="43FC1A6D" w14:textId="4D2E7A22" w:rsidR="007B0CF3" w:rsidRDefault="007B0CF3" w:rsidP="00A443C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There are times that the redaction effort leaves the underlying statement non-sensical or worthless – under that scenario, the judge can exclude the resulting statement </w:t>
      </w:r>
    </w:p>
    <w:p w14:paraId="37BB44D8" w14:textId="3A817627" w:rsidR="007B0CF3" w:rsidRDefault="007B0CF3" w:rsidP="007B0CF3">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Remember when we promised to revisit the issue of a limiting instruction?  Well here we go…</w:t>
      </w:r>
    </w:p>
    <w:p w14:paraId="32A519A6" w14:textId="51558582" w:rsidR="007359EE" w:rsidRDefault="007359EE" w:rsidP="007359EE">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It is of VITAL importance that the statement be redacted AND that the jury receive a limiting instruction when dealing with a </w:t>
      </w:r>
      <w:r>
        <w:rPr>
          <w:rFonts w:eastAsia="Arial"/>
          <w:bCs/>
          <w:i/>
          <w:iCs/>
          <w:color w:val="auto"/>
          <w:kern w:val="0"/>
          <w:sz w:val="28"/>
          <w:szCs w:val="28"/>
          <w14:ligatures w14:val="none"/>
        </w:rPr>
        <w:t>Bruton</w:t>
      </w:r>
      <w:r>
        <w:rPr>
          <w:rFonts w:eastAsia="Arial"/>
          <w:bCs/>
          <w:color w:val="auto"/>
          <w:kern w:val="0"/>
          <w:sz w:val="28"/>
          <w:szCs w:val="28"/>
          <w14:ligatures w14:val="none"/>
        </w:rPr>
        <w:t xml:space="preserve"> problem</w:t>
      </w:r>
    </w:p>
    <w:p w14:paraId="7D58251F" w14:textId="6C35B6BB" w:rsidR="007359EE" w:rsidRDefault="007359EE" w:rsidP="00B7006F">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The limiting instruction must tell the jury that the </w:t>
      </w:r>
      <w:r w:rsidR="00B7006F">
        <w:rPr>
          <w:rFonts w:eastAsia="Arial"/>
          <w:bCs/>
          <w:color w:val="auto"/>
          <w:kern w:val="0"/>
          <w:sz w:val="28"/>
          <w:szCs w:val="28"/>
          <w14:ligatures w14:val="none"/>
        </w:rPr>
        <w:t xml:space="preserve">pretrial custodial </w:t>
      </w:r>
      <w:r>
        <w:rPr>
          <w:rFonts w:eastAsia="Arial"/>
          <w:bCs/>
          <w:color w:val="auto"/>
          <w:kern w:val="0"/>
          <w:sz w:val="28"/>
          <w:szCs w:val="28"/>
          <w14:ligatures w14:val="none"/>
        </w:rPr>
        <w:t xml:space="preserve">statement </w:t>
      </w:r>
      <w:r w:rsidR="00B7006F">
        <w:rPr>
          <w:rFonts w:eastAsia="Arial"/>
          <w:bCs/>
          <w:color w:val="auto"/>
          <w:kern w:val="0"/>
          <w:sz w:val="28"/>
          <w:szCs w:val="28"/>
          <w14:ligatures w14:val="none"/>
        </w:rPr>
        <w:t>can be considered only against the maker of the statement</w:t>
      </w:r>
    </w:p>
    <w:p w14:paraId="4AC2F82C" w14:textId="20497954" w:rsidR="00905B57" w:rsidRPr="00905B57" w:rsidRDefault="00B7006F" w:rsidP="00DC02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Failure to give a limiting instruction is likely reversible error</w:t>
      </w:r>
      <w:r>
        <w:rPr>
          <w:rStyle w:val="EndnoteReference"/>
          <w:rFonts w:eastAsia="Arial"/>
          <w:bCs/>
          <w:kern w:val="0"/>
          <w:szCs w:val="28"/>
          <w14:ligatures w14:val="none"/>
        </w:rPr>
        <w:endnoteReference w:id="20"/>
      </w:r>
    </w:p>
    <w:p w14:paraId="372CFEB1" w14:textId="60BA257E" w:rsidR="005C3800" w:rsidRPr="005C3800" w:rsidRDefault="005C3800" w:rsidP="00DC02E1">
      <w:pPr>
        <w:spacing w:before="120" w:after="240" w:line="480" w:lineRule="auto"/>
        <w:ind w:right="720"/>
        <w:rPr>
          <w:rFonts w:eastAsia="Arial"/>
          <w:b/>
          <w:color w:val="auto"/>
          <w:kern w:val="0"/>
          <w:sz w:val="28"/>
          <w:szCs w:val="28"/>
          <w14:ligatures w14:val="none"/>
        </w:rPr>
      </w:pPr>
      <w:r>
        <w:rPr>
          <w:rFonts w:eastAsia="Times New Roman"/>
          <w:bCs/>
          <w:color w:val="auto"/>
          <w:kern w:val="0"/>
          <w:sz w:val="28"/>
          <w:szCs w:val="28"/>
          <w14:ligatures w14:val="none"/>
        </w:rPr>
        <w:lastRenderedPageBreak/>
        <w:pict w14:anchorId="0E8D6075">
          <v:rect id="_x0000_i1048" style="width:0;height:1.5pt" o:hralign="center" o:bullet="t" o:hrstd="t" o:hr="t" fillcolor="#a0a0a0" stroked="f"/>
        </w:pict>
      </w:r>
    </w:p>
    <w:p w14:paraId="071CF79D" w14:textId="725B390F" w:rsidR="007E60C0" w:rsidRDefault="007E60C0" w:rsidP="00DC02E1">
      <w:pPr>
        <w:spacing w:before="120" w:after="240" w:line="480" w:lineRule="auto"/>
        <w:ind w:right="720"/>
        <w:rPr>
          <w:rFonts w:eastAsia="Arial"/>
          <w:b/>
          <w:color w:val="auto"/>
          <w:kern w:val="0"/>
          <w:sz w:val="28"/>
          <w:szCs w:val="28"/>
          <w14:ligatures w14:val="none"/>
        </w:rPr>
      </w:pPr>
      <w:r>
        <w:rPr>
          <w:rFonts w:eastAsia="Arial"/>
          <w:b/>
          <w:color w:val="auto"/>
          <w:kern w:val="0"/>
          <w:sz w:val="28"/>
          <w:szCs w:val="28"/>
          <w14:ligatures w14:val="none"/>
        </w:rPr>
        <w:t>Co-Conspirator Statement “exclusion” from definition of hearsay</w:t>
      </w:r>
    </w:p>
    <w:p w14:paraId="5BA7A908" w14:textId="65A0A18D" w:rsidR="007E60C0" w:rsidRDefault="007E60C0" w:rsidP="00DC02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Loyal listeners will recall that we have talked about evidence a lot during prior episodes</w:t>
      </w:r>
    </w:p>
    <w:p w14:paraId="051D3309" w14:textId="5FD9A469" w:rsidR="007E60C0" w:rsidRDefault="007E60C0" w:rsidP="00CA5636">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One of the places we have spent a great deal of time – here on the Good Judge-</w:t>
      </w:r>
      <w:proofErr w:type="spellStart"/>
      <w:r>
        <w:rPr>
          <w:rFonts w:eastAsia="Arial"/>
          <w:bCs/>
          <w:color w:val="auto"/>
          <w:kern w:val="0"/>
          <w:sz w:val="28"/>
          <w:szCs w:val="28"/>
          <w14:ligatures w14:val="none"/>
        </w:rPr>
        <w:t>Ment</w:t>
      </w:r>
      <w:proofErr w:type="spellEnd"/>
      <w:r>
        <w:rPr>
          <w:rFonts w:eastAsia="Arial"/>
          <w:bCs/>
          <w:color w:val="auto"/>
          <w:kern w:val="0"/>
          <w:sz w:val="28"/>
          <w:szCs w:val="28"/>
          <w14:ligatures w14:val="none"/>
        </w:rPr>
        <w:t xml:space="preserve"> Podcast and when we teach in other </w:t>
      </w:r>
      <w:r w:rsidR="00CA5636">
        <w:rPr>
          <w:rFonts w:eastAsia="Arial"/>
          <w:bCs/>
          <w:color w:val="auto"/>
          <w:kern w:val="0"/>
          <w:sz w:val="28"/>
          <w:szCs w:val="28"/>
          <w14:ligatures w14:val="none"/>
        </w:rPr>
        <w:t>scenarios – is hearsay</w:t>
      </w:r>
    </w:p>
    <w:p w14:paraId="7FCACD27" w14:textId="2B0AE572" w:rsidR="00CA5636" w:rsidRDefault="00CA5636" w:rsidP="00CA5636">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Tain’s quote – “If you learn the hearsay rule, you will be far ahead of most other lawyers and judges” is really very true</w:t>
      </w:r>
    </w:p>
    <w:p w14:paraId="130A4919" w14:textId="01422E79" w:rsidR="00CA5636" w:rsidRDefault="00CA5636" w:rsidP="00CA5636">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The hearsay rule defines hearsay, defines a few types of statements that would normally be hearsay but which are excluded from the definition (all Rule 801) and then provides for exceptions to the hearsay rule (Rules 803 and 804)</w:t>
      </w:r>
    </w:p>
    <w:p w14:paraId="3633B7F8" w14:textId="7FD112DB" w:rsidR="00CA5636" w:rsidRDefault="00CA5636" w:rsidP="00CA5636">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In this episode we are not going to delve too deeply into the nuts and bolts of hearsay but understand that there is one topic within the larger umbrella of hearsay that bears </w:t>
      </w:r>
      <w:r w:rsidR="00037707">
        <w:rPr>
          <w:rFonts w:eastAsia="Arial"/>
          <w:bCs/>
          <w:color w:val="auto"/>
          <w:kern w:val="0"/>
          <w:sz w:val="28"/>
          <w:szCs w:val="28"/>
          <w14:ligatures w14:val="none"/>
        </w:rPr>
        <w:t>discussion</w:t>
      </w:r>
      <w:r>
        <w:rPr>
          <w:rFonts w:eastAsia="Arial"/>
          <w:bCs/>
          <w:color w:val="auto"/>
          <w:kern w:val="0"/>
          <w:sz w:val="28"/>
          <w:szCs w:val="28"/>
          <w14:ligatures w14:val="none"/>
        </w:rPr>
        <w:t xml:space="preserve"> – the co-conspirator </w:t>
      </w:r>
      <w:r w:rsidR="00037707">
        <w:rPr>
          <w:rFonts w:eastAsia="Arial"/>
          <w:bCs/>
          <w:color w:val="auto"/>
          <w:kern w:val="0"/>
          <w:sz w:val="28"/>
          <w:szCs w:val="28"/>
          <w14:ligatures w14:val="none"/>
        </w:rPr>
        <w:t>statement</w:t>
      </w:r>
    </w:p>
    <w:p w14:paraId="29062962" w14:textId="1FC255DB" w:rsidR="00037707" w:rsidRDefault="00037707" w:rsidP="00CA5636">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4C6D7F88">
          <v:rect id="_x0000_i1051" style="width:0;height:1.5pt" o:hralign="center" o:bullet="t" o:hrstd="t" o:hr="t" fillcolor="#a0a0a0" stroked="f"/>
        </w:pict>
      </w:r>
    </w:p>
    <w:p w14:paraId="6A85822D" w14:textId="76EB6196" w:rsidR="00037707" w:rsidRDefault="00037707" w:rsidP="00CA5636">
      <w:pPr>
        <w:spacing w:before="120" w:after="240" w:line="480" w:lineRule="auto"/>
        <w:ind w:right="720"/>
        <w:rPr>
          <w:rFonts w:eastAsia="Arial"/>
          <w:bCs/>
          <w:color w:val="auto"/>
          <w:kern w:val="0"/>
          <w:sz w:val="28"/>
          <w:szCs w:val="28"/>
          <w14:ligatures w14:val="none"/>
        </w:rPr>
      </w:pPr>
      <w:r w:rsidRPr="00037707">
        <w:rPr>
          <w:rFonts w:eastAsia="Arial"/>
          <w:bCs/>
          <w:color w:val="auto"/>
          <w:kern w:val="0"/>
          <w:sz w:val="28"/>
          <w:szCs w:val="28"/>
          <w14:ligatures w14:val="none"/>
        </w:rPr>
        <w:lastRenderedPageBreak/>
        <w:t xml:space="preserve">O.C.G.A. § 24-8-801(d)(2)(E) is the co-conspirator </w:t>
      </w:r>
      <w:r>
        <w:rPr>
          <w:rFonts w:eastAsia="Arial"/>
          <w:bCs/>
          <w:color w:val="auto"/>
          <w:kern w:val="0"/>
          <w:sz w:val="28"/>
          <w:szCs w:val="28"/>
          <w14:ligatures w14:val="none"/>
        </w:rPr>
        <w:t>“</w:t>
      </w:r>
      <w:r w:rsidRPr="00037707">
        <w:rPr>
          <w:rFonts w:eastAsia="Arial"/>
          <w:bCs/>
          <w:color w:val="auto"/>
          <w:kern w:val="0"/>
          <w:sz w:val="28"/>
          <w:szCs w:val="28"/>
          <w14:ligatures w14:val="none"/>
        </w:rPr>
        <w:t>exception</w:t>
      </w:r>
      <w:r>
        <w:rPr>
          <w:rFonts w:eastAsia="Arial"/>
          <w:bCs/>
          <w:color w:val="auto"/>
          <w:kern w:val="0"/>
          <w:sz w:val="28"/>
          <w:szCs w:val="28"/>
          <w14:ligatures w14:val="none"/>
        </w:rPr>
        <w:t>”</w:t>
      </w:r>
      <w:r w:rsidRPr="00037707">
        <w:rPr>
          <w:rFonts w:eastAsia="Arial"/>
          <w:bCs/>
          <w:color w:val="auto"/>
          <w:kern w:val="0"/>
          <w:sz w:val="28"/>
          <w:szCs w:val="28"/>
          <w14:ligatures w14:val="none"/>
        </w:rPr>
        <w:t xml:space="preserve"> to the hearsay rule</w:t>
      </w:r>
    </w:p>
    <w:p w14:paraId="40ACACBD" w14:textId="2F8AB2BC" w:rsidR="00037707" w:rsidRDefault="00037707" w:rsidP="00037707">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In fact, it is not an exception – it is an exclusion from the definition of hearsay (but everyone else calls it an exception and we do not want anyone to be confused)</w:t>
      </w:r>
    </w:p>
    <w:p w14:paraId="14F999BD" w14:textId="22FF6C61" w:rsidR="00037707" w:rsidRDefault="00037707" w:rsidP="00037707">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biggest point you need to know about the co-conspirator exclusion/exception is that the statement of a co-conspirator must be made “in furtherance of the conspiracy”</w:t>
      </w:r>
    </w:p>
    <w:p w14:paraId="24615AF9" w14:textId="381B8C20" w:rsidR="0024265A" w:rsidRDefault="0024265A" w:rsidP="0024265A">
      <w:pPr>
        <w:spacing w:before="120" w:after="240" w:line="480" w:lineRule="auto"/>
        <w:ind w:left="720" w:right="720"/>
        <w:rPr>
          <w:rFonts w:eastAsia="Arial"/>
          <w:bCs/>
          <w:color w:val="auto"/>
          <w:kern w:val="0"/>
          <w:sz w:val="28"/>
          <w:szCs w:val="28"/>
          <w14:ligatures w14:val="none"/>
        </w:rPr>
      </w:pPr>
      <w:r w:rsidRPr="0024265A">
        <w:rPr>
          <w:rFonts w:eastAsia="Arial"/>
          <w:bCs/>
          <w:color w:val="auto"/>
          <w:kern w:val="0"/>
          <w:sz w:val="28"/>
          <w:szCs w:val="28"/>
          <w14:ligatures w14:val="none"/>
        </w:rPr>
        <w:t xml:space="preserve">While the rule specifically notes that such statements may be admissible even during the concealment phase of the conspiracy, the underlying premise is that each co-conspirator is liable for the statements of the other co-conspirators </w:t>
      </w:r>
      <w:r w:rsidRPr="0024265A">
        <w:rPr>
          <w:rFonts w:eastAsia="Arial"/>
          <w:b/>
          <w:bCs/>
          <w:i/>
          <w:color w:val="auto"/>
          <w:kern w:val="0"/>
          <w:sz w:val="28"/>
          <w:szCs w:val="28"/>
          <w14:ligatures w14:val="none"/>
        </w:rPr>
        <w:t>provided</w:t>
      </w:r>
      <w:r w:rsidRPr="0024265A">
        <w:rPr>
          <w:rFonts w:eastAsia="Arial"/>
          <w:bCs/>
          <w:color w:val="auto"/>
          <w:kern w:val="0"/>
          <w:sz w:val="28"/>
          <w:szCs w:val="28"/>
          <w14:ligatures w14:val="none"/>
        </w:rPr>
        <w:t xml:space="preserve"> the speaking co-conspirator is making the statement in furtherance of their joint venture.</w:t>
      </w:r>
    </w:p>
    <w:p w14:paraId="6353AE52" w14:textId="446FF691" w:rsidR="0024265A" w:rsidRDefault="0024265A" w:rsidP="0024265A">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It is not of any importance whether the parties were charged with a conspiracy crime</w:t>
      </w:r>
      <w:r w:rsidRPr="0024265A">
        <w:rPr>
          <w:rFonts w:eastAsia="Arial"/>
          <w:b/>
          <w:bCs/>
          <w:color w:val="auto"/>
          <w:kern w:val="0"/>
          <w:sz w:val="28"/>
          <w:szCs w:val="28"/>
          <w:vertAlign w:val="superscript"/>
          <w14:ligatures w14:val="none"/>
        </w:rPr>
        <w:endnoteReference w:id="21"/>
      </w:r>
      <w:r w:rsidRPr="0024265A">
        <w:rPr>
          <w:rFonts w:eastAsia="Arial"/>
          <w:bCs/>
          <w:color w:val="auto"/>
          <w:kern w:val="0"/>
          <w:sz w:val="28"/>
          <w:szCs w:val="28"/>
          <w14:ligatures w14:val="none"/>
        </w:rPr>
        <w:t xml:space="preserve"> </w:t>
      </w:r>
      <w:r>
        <w:rPr>
          <w:rFonts w:eastAsia="Arial"/>
          <w:bCs/>
          <w:color w:val="auto"/>
          <w:kern w:val="0"/>
          <w:sz w:val="28"/>
          <w:szCs w:val="28"/>
          <w14:ligatures w14:val="none"/>
        </w:rPr>
        <w:t xml:space="preserve"> – only that the statement was made during the existence of the conspiracy and in furtherance of the conspiracy</w:t>
      </w:r>
    </w:p>
    <w:p w14:paraId="075BDC0C" w14:textId="3ACB77E7" w:rsidR="0024265A" w:rsidRDefault="0024265A" w:rsidP="0024265A">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lastRenderedPageBreak/>
        <w:t>In what must be considered one of the classic terms rooted in Georgia law, the appellate cases have held that to qualify as a co-conspirator statement, the statement must not merely be one where the speaker “spilled the beans” of their criminal activity</w:t>
      </w:r>
      <w:r>
        <w:rPr>
          <w:rStyle w:val="EndnoteReference"/>
          <w:rFonts w:eastAsia="Arial"/>
          <w:bCs/>
          <w:kern w:val="0"/>
          <w:szCs w:val="28"/>
          <w14:ligatures w14:val="none"/>
        </w:rPr>
        <w:endnoteReference w:id="22"/>
      </w:r>
    </w:p>
    <w:p w14:paraId="11259DA9" w14:textId="36A55605" w:rsidR="007B06BD" w:rsidRDefault="007B06BD" w:rsidP="007B06BD">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69928FD9">
          <v:rect id="_x0000_i1052" style="width:0;height:1.5pt" o:hralign="center" o:bullet="t" o:hrstd="t" o:hr="t" fillcolor="#a0a0a0" stroked="f"/>
        </w:pict>
      </w:r>
    </w:p>
    <w:p w14:paraId="6C480460" w14:textId="0350F52C" w:rsidR="007B06BD" w:rsidRDefault="007B06BD" w:rsidP="007B06BD">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So how does this hearsay issue fit into </w:t>
      </w:r>
      <w:r>
        <w:rPr>
          <w:rFonts w:eastAsia="Arial"/>
          <w:bCs/>
          <w:i/>
          <w:iCs/>
          <w:color w:val="auto"/>
          <w:kern w:val="0"/>
          <w:sz w:val="28"/>
          <w:szCs w:val="28"/>
          <w14:ligatures w14:val="none"/>
        </w:rPr>
        <w:t>Bruton</w:t>
      </w:r>
      <w:r>
        <w:rPr>
          <w:rFonts w:eastAsia="Arial"/>
          <w:bCs/>
          <w:color w:val="auto"/>
          <w:kern w:val="0"/>
          <w:sz w:val="28"/>
          <w:szCs w:val="28"/>
          <w14:ligatures w14:val="none"/>
        </w:rPr>
        <w:t xml:space="preserve"> and </w:t>
      </w:r>
      <w:r>
        <w:rPr>
          <w:rFonts w:eastAsia="Arial"/>
          <w:bCs/>
          <w:i/>
          <w:iCs/>
          <w:color w:val="auto"/>
          <w:kern w:val="0"/>
          <w:sz w:val="28"/>
          <w:szCs w:val="28"/>
          <w14:ligatures w14:val="none"/>
        </w:rPr>
        <w:t>Crawford</w:t>
      </w:r>
      <w:r>
        <w:rPr>
          <w:rFonts w:eastAsia="Arial"/>
          <w:bCs/>
          <w:color w:val="auto"/>
          <w:kern w:val="0"/>
          <w:sz w:val="28"/>
          <w:szCs w:val="28"/>
          <w14:ligatures w14:val="none"/>
        </w:rPr>
        <w:t>?</w:t>
      </w:r>
    </w:p>
    <w:p w14:paraId="76F69095" w14:textId="3E17DCFF" w:rsidR="007B06BD" w:rsidRDefault="007B06BD" w:rsidP="007B06BD">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The only way to answer the question is “the long way” so bear with us</w:t>
      </w:r>
    </w:p>
    <w:p w14:paraId="17100A82" w14:textId="45759E56" w:rsidR="007E60C0" w:rsidRDefault="000D63FE" w:rsidP="00DC02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Let’s use two examples:</w:t>
      </w:r>
    </w:p>
    <w:p w14:paraId="04B3629C" w14:textId="1E549E02" w:rsidR="000D63FE" w:rsidRDefault="000D63FE" w:rsidP="000D63FE">
      <w:pPr>
        <w:pStyle w:val="ListParagraph"/>
        <w:numPr>
          <w:ilvl w:val="0"/>
          <w:numId w:val="13"/>
        </w:numPr>
        <w:spacing w:before="120" w:after="240" w:line="480" w:lineRule="auto"/>
        <w:ind w:right="720"/>
        <w:rPr>
          <w:rFonts w:eastAsia="Arial"/>
          <w:b/>
          <w:color w:val="auto"/>
          <w:kern w:val="0"/>
          <w:sz w:val="28"/>
          <w:szCs w:val="28"/>
          <w14:ligatures w14:val="none"/>
        </w:rPr>
      </w:pPr>
      <w:r>
        <w:rPr>
          <w:rFonts w:eastAsia="Arial"/>
          <w:b/>
          <w:color w:val="auto"/>
          <w:kern w:val="0"/>
          <w:sz w:val="28"/>
          <w:szCs w:val="28"/>
          <w14:ligatures w14:val="none"/>
        </w:rPr>
        <w:t>Co-defendant makes statement to girlfriend that he and co-defendant “hit a lick” last night, robbing a man and when the man resisted, that co-defendant shot the man and they fled.</w:t>
      </w:r>
    </w:p>
    <w:p w14:paraId="0C673694" w14:textId="3674A9E4" w:rsidR="000D63FE" w:rsidRPr="000D63FE" w:rsidRDefault="000D63FE" w:rsidP="000D63FE">
      <w:pPr>
        <w:pStyle w:val="ListParagraph"/>
        <w:numPr>
          <w:ilvl w:val="0"/>
          <w:numId w:val="13"/>
        </w:numPr>
        <w:spacing w:before="120" w:after="240" w:line="480" w:lineRule="auto"/>
        <w:ind w:right="720"/>
        <w:rPr>
          <w:rFonts w:eastAsia="Arial"/>
          <w:b/>
          <w:color w:val="auto"/>
          <w:kern w:val="0"/>
          <w:sz w:val="28"/>
          <w:szCs w:val="28"/>
          <w14:ligatures w14:val="none"/>
        </w:rPr>
      </w:pPr>
      <w:r>
        <w:rPr>
          <w:rFonts w:eastAsia="Arial"/>
          <w:b/>
          <w:color w:val="auto"/>
          <w:kern w:val="0"/>
          <w:sz w:val="28"/>
          <w:szCs w:val="28"/>
          <w14:ligatures w14:val="none"/>
        </w:rPr>
        <w:t>Co-defendant makes the exact same statement to a law enforcement officer during a custodial interrogation.</w:t>
      </w:r>
    </w:p>
    <w:p w14:paraId="6CE6312C" w14:textId="302EB443" w:rsidR="000D63FE" w:rsidRDefault="00773B54" w:rsidP="00773B54">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Under the first example – the girlfriend scenario – except under strange facts, the statement is really a “spilling of the beans” and is not furthering the conspiracy.</w:t>
      </w:r>
      <w:r w:rsidR="00916422">
        <w:rPr>
          <w:rStyle w:val="EndnoteReference"/>
          <w:rFonts w:eastAsia="Arial"/>
          <w:bCs/>
          <w:kern w:val="0"/>
          <w:szCs w:val="28"/>
          <w14:ligatures w14:val="none"/>
        </w:rPr>
        <w:endnoteReference w:id="23"/>
      </w:r>
      <w:r>
        <w:rPr>
          <w:rFonts w:eastAsia="Arial"/>
          <w:bCs/>
          <w:color w:val="auto"/>
          <w:kern w:val="0"/>
          <w:sz w:val="28"/>
          <w:szCs w:val="28"/>
          <w14:ligatures w14:val="none"/>
        </w:rPr>
        <w:t xml:space="preserve">  So it is hearsay and there is no exception that would allow </w:t>
      </w:r>
      <w:r>
        <w:rPr>
          <w:rFonts w:eastAsia="Arial"/>
          <w:bCs/>
          <w:color w:val="auto"/>
          <w:kern w:val="0"/>
          <w:sz w:val="28"/>
          <w:szCs w:val="28"/>
          <w14:ligatures w14:val="none"/>
        </w:rPr>
        <w:lastRenderedPageBreak/>
        <w:t xml:space="preserve">it.  It also poses a </w:t>
      </w:r>
      <w:r>
        <w:rPr>
          <w:rFonts w:eastAsia="Arial"/>
          <w:bCs/>
          <w:i/>
          <w:iCs/>
          <w:color w:val="auto"/>
          <w:kern w:val="0"/>
          <w:sz w:val="28"/>
          <w:szCs w:val="28"/>
          <w14:ligatures w14:val="none"/>
        </w:rPr>
        <w:t>Crawford</w:t>
      </w:r>
      <w:r>
        <w:rPr>
          <w:rFonts w:eastAsia="Arial"/>
          <w:bCs/>
          <w:color w:val="auto"/>
          <w:kern w:val="0"/>
          <w:sz w:val="28"/>
          <w:szCs w:val="28"/>
          <w14:ligatures w14:val="none"/>
        </w:rPr>
        <w:t xml:space="preserve"> problem because the maker of the statement (co-defendant) cannot be compelled to testify.</w:t>
      </w:r>
    </w:p>
    <w:p w14:paraId="0B88F8E0" w14:textId="7901F140" w:rsidR="00773B54" w:rsidRDefault="00773B54" w:rsidP="00916422">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Under the second example</w:t>
      </w:r>
      <w:r w:rsidR="00B355CB">
        <w:rPr>
          <w:rFonts w:eastAsia="Arial"/>
          <w:bCs/>
          <w:color w:val="auto"/>
          <w:kern w:val="0"/>
          <w:sz w:val="28"/>
          <w:szCs w:val="28"/>
          <w14:ligatures w14:val="none"/>
        </w:rPr>
        <w:t xml:space="preserve"> (statement to law enforcement)</w:t>
      </w:r>
      <w:r>
        <w:rPr>
          <w:rFonts w:eastAsia="Arial"/>
          <w:bCs/>
          <w:color w:val="auto"/>
          <w:kern w:val="0"/>
          <w:sz w:val="28"/>
          <w:szCs w:val="28"/>
          <w14:ligatures w14:val="none"/>
        </w:rPr>
        <w:t xml:space="preserve">, the statement “gets around” hearsay because it is a confession of the co-defendant – but his “confession” also implicates the other co-defendant.  </w:t>
      </w:r>
      <w:r w:rsidR="00916422">
        <w:rPr>
          <w:rFonts w:eastAsia="Arial"/>
          <w:bCs/>
          <w:color w:val="auto"/>
          <w:kern w:val="0"/>
          <w:sz w:val="28"/>
          <w:szCs w:val="28"/>
          <w14:ligatures w14:val="none"/>
        </w:rPr>
        <w:t xml:space="preserve">While you do not have a hearsay problem, you do have a </w:t>
      </w:r>
      <w:r w:rsidR="00916422">
        <w:rPr>
          <w:rFonts w:eastAsia="Arial"/>
          <w:bCs/>
          <w:i/>
          <w:iCs/>
          <w:color w:val="auto"/>
          <w:kern w:val="0"/>
          <w:sz w:val="28"/>
          <w:szCs w:val="28"/>
          <w14:ligatures w14:val="none"/>
        </w:rPr>
        <w:t>Bruton</w:t>
      </w:r>
      <w:r w:rsidR="00916422">
        <w:rPr>
          <w:rFonts w:eastAsia="Arial"/>
          <w:bCs/>
          <w:color w:val="auto"/>
          <w:kern w:val="0"/>
          <w:sz w:val="28"/>
          <w:szCs w:val="28"/>
          <w14:ligatures w14:val="none"/>
        </w:rPr>
        <w:t xml:space="preserve"> and </w:t>
      </w:r>
      <w:r w:rsidR="00916422">
        <w:rPr>
          <w:rFonts w:eastAsia="Arial"/>
          <w:bCs/>
          <w:i/>
          <w:iCs/>
          <w:color w:val="auto"/>
          <w:kern w:val="0"/>
          <w:sz w:val="28"/>
          <w:szCs w:val="28"/>
          <w14:ligatures w14:val="none"/>
        </w:rPr>
        <w:t>Crawford</w:t>
      </w:r>
      <w:r w:rsidR="00916422">
        <w:rPr>
          <w:rFonts w:eastAsia="Arial"/>
          <w:bCs/>
          <w:color w:val="auto"/>
          <w:kern w:val="0"/>
          <w:sz w:val="28"/>
          <w:szCs w:val="28"/>
          <w14:ligatures w14:val="none"/>
        </w:rPr>
        <w:t xml:space="preserve"> problem</w:t>
      </w:r>
    </w:p>
    <w:p w14:paraId="5F16625D" w14:textId="50F7095A" w:rsidR="00916422" w:rsidRDefault="00916422" w:rsidP="00916422">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second statement could be admitted in the joint trial of the two if 1) the statement is redacted to remove any reference to the co-defendant other than “another individual” and 2) a limiting instruction is given to ensure the jury understands that the statement shall only be considered against the maker of the statement and not against any other co-defendant</w:t>
      </w:r>
    </w:p>
    <w:p w14:paraId="0B5BBCE5" w14:textId="6E3B4AA5" w:rsidR="00B355CB" w:rsidRPr="00916422" w:rsidRDefault="00B355CB" w:rsidP="00916422">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66949C41">
          <v:rect id="_x0000_i1053" style="width:0;height:1.5pt" o:hralign="center" o:bullet="t" o:hrstd="t" o:hr="t" fillcolor="#a0a0a0" stroked="f"/>
        </w:pict>
      </w:r>
    </w:p>
    <w:p w14:paraId="609BF498" w14:textId="67CB20A0" w:rsidR="00E078AF" w:rsidRDefault="00E078AF" w:rsidP="00DC02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So let’s stop here for the first part of this episode and we will discuss </w:t>
      </w:r>
      <w:r>
        <w:rPr>
          <w:rFonts w:eastAsia="Arial"/>
          <w:bCs/>
          <w:color w:val="auto"/>
          <w:kern w:val="0"/>
          <w:sz w:val="28"/>
          <w:szCs w:val="28"/>
          <w14:ligatures w14:val="none"/>
        </w:rPr>
        <w:t>other issues dealing with multi-defendant cases in the companion episode – specifically including logistics relating to a multi-defendant trial and issues with jury selection, closing argument and jury charges</w:t>
      </w:r>
    </w:p>
    <w:p w14:paraId="462B6371" w14:textId="52DAD8F6" w:rsidR="00E078AF" w:rsidRDefault="00E078AF" w:rsidP="00CA7A2F">
      <w:pPr>
        <w:spacing w:before="120" w:after="240" w:line="480" w:lineRule="auto"/>
        <w:ind w:right="720"/>
        <w:rPr>
          <w:rFonts w:eastAsia="Arial"/>
          <w:bCs/>
          <w:i/>
          <w:iCs/>
          <w:color w:val="auto"/>
          <w:kern w:val="0"/>
          <w:sz w:val="28"/>
          <w:szCs w:val="28"/>
          <w14:ligatures w14:val="none"/>
        </w:rPr>
      </w:pPr>
      <w:r>
        <w:rPr>
          <w:rFonts w:eastAsia="Arial"/>
          <w:bCs/>
          <w:i/>
          <w:iCs/>
          <w:color w:val="auto"/>
          <w:kern w:val="0"/>
          <w:sz w:val="28"/>
          <w:szCs w:val="28"/>
          <w14:ligatures w14:val="none"/>
        </w:rPr>
        <w:lastRenderedPageBreak/>
        <w:t xml:space="preserve">We </w:t>
      </w:r>
      <w:r w:rsidR="00CA7A2F">
        <w:rPr>
          <w:rFonts w:eastAsia="Arial"/>
          <w:bCs/>
          <w:i/>
          <w:iCs/>
          <w:color w:val="auto"/>
          <w:kern w:val="0"/>
          <w:sz w:val="28"/>
          <w:szCs w:val="28"/>
          <w14:ligatures w14:val="none"/>
        </w:rPr>
        <w:t>know</w:t>
      </w:r>
      <w:r>
        <w:rPr>
          <w:rFonts w:eastAsia="Arial"/>
          <w:bCs/>
          <w:i/>
          <w:iCs/>
          <w:color w:val="auto"/>
          <w:kern w:val="0"/>
          <w:sz w:val="28"/>
          <w:szCs w:val="28"/>
          <w14:ligatures w14:val="none"/>
        </w:rPr>
        <w:t xml:space="preserve"> that, with a teaser like that, you will not be able to </w:t>
      </w:r>
      <w:r w:rsidR="00CA7A2F">
        <w:rPr>
          <w:rFonts w:eastAsia="Arial"/>
          <w:bCs/>
          <w:i/>
          <w:iCs/>
          <w:color w:val="auto"/>
          <w:kern w:val="0"/>
          <w:sz w:val="28"/>
          <w:szCs w:val="28"/>
          <w14:ligatures w14:val="none"/>
        </w:rPr>
        <w:t>avoid the companion episode</w:t>
      </w:r>
    </w:p>
    <w:p w14:paraId="3BD961E8" w14:textId="5BA11D8A" w:rsidR="00CA7A2F" w:rsidRDefault="00CA7A2F" w:rsidP="00CA7A2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Remember, nothing we have said today is designed to address any particular pending case anywhere on the planet</w:t>
      </w:r>
    </w:p>
    <w:p w14:paraId="28936825" w14:textId="0CF228CC" w:rsidR="00CA7A2F" w:rsidRDefault="00CA7A2F" w:rsidP="00CA7A2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Send us your thoughts and ideas at </w:t>
      </w:r>
      <w:hyperlink r:id="rId8" w:history="1">
        <w:r w:rsidRPr="00131A5E">
          <w:rPr>
            <w:rStyle w:val="Hyperlink"/>
            <w:rFonts w:eastAsia="Arial"/>
            <w:bCs/>
            <w:kern w:val="0"/>
            <w:sz w:val="28"/>
            <w:szCs w:val="28"/>
            <w14:ligatures w14:val="none"/>
          </w:rPr>
          <w:t>goodjudgepod@gmail.com</w:t>
        </w:r>
      </w:hyperlink>
    </w:p>
    <w:p w14:paraId="5B46A2A6" w14:textId="2197CF9E" w:rsidR="00CA7A2F" w:rsidRDefault="00CA7A2F" w:rsidP="00CA7A2F">
      <w:pPr>
        <w:spacing w:before="120" w:after="240" w:line="480" w:lineRule="auto"/>
        <w:ind w:right="720"/>
        <w:rPr>
          <w:rFonts w:eastAsia="Arial"/>
          <w:bCs/>
          <w:i/>
          <w:iCs/>
          <w:color w:val="auto"/>
          <w:kern w:val="0"/>
          <w:sz w:val="28"/>
          <w:szCs w:val="28"/>
          <w14:ligatures w14:val="none"/>
        </w:rPr>
      </w:pPr>
      <w:r>
        <w:rPr>
          <w:rFonts w:eastAsia="Arial"/>
          <w:bCs/>
          <w:i/>
          <w:iCs/>
          <w:color w:val="auto"/>
          <w:kern w:val="0"/>
          <w:sz w:val="28"/>
          <w:szCs w:val="28"/>
          <w14:ligatures w14:val="none"/>
        </w:rPr>
        <w:t>This episode outline is available on goodjudgepod.com</w:t>
      </w:r>
    </w:p>
    <w:p w14:paraId="46C2FAD8" w14:textId="23499CA2" w:rsidR="00CA7A2F" w:rsidRPr="00CA7A2F" w:rsidRDefault="0060514B" w:rsidP="00CA7A2F">
      <w:pPr>
        <w:spacing w:before="120" w:after="240" w:line="480" w:lineRule="auto"/>
        <w:ind w:right="720"/>
        <w:rPr>
          <w:rFonts w:eastAsia="Arial"/>
          <w:bCs/>
          <w:i/>
          <w:iCs/>
          <w:color w:val="auto"/>
          <w:kern w:val="0"/>
          <w:sz w:val="28"/>
          <w:szCs w:val="28"/>
          <w14:ligatures w14:val="none"/>
        </w:rPr>
      </w:pPr>
      <w:r>
        <w:rPr>
          <w:rFonts w:eastAsia="Arial"/>
          <w:bCs/>
          <w:i/>
          <w:iCs/>
          <w:color w:val="auto"/>
          <w:kern w:val="0"/>
          <w:sz w:val="28"/>
          <w:szCs w:val="28"/>
          <w14:ligatures w14:val="none"/>
        </w:rPr>
        <w:t xml:space="preserve">Music trivia for today – let’s step back in time to the man, the myth, the legend, Elvis Presley.  Elvis Aaron Presley was born in 1935 in Tupelo, Mississippi.  His first single released was a song called “That’s All Right.”  </w:t>
      </w:r>
      <w:r w:rsidR="000F2531">
        <w:rPr>
          <w:rFonts w:eastAsia="Arial"/>
          <w:bCs/>
          <w:i/>
          <w:iCs/>
          <w:color w:val="auto"/>
          <w:kern w:val="0"/>
          <w:sz w:val="28"/>
          <w:szCs w:val="28"/>
          <w14:ligatures w14:val="none"/>
        </w:rPr>
        <w:t xml:space="preserve">Do you know which of his monster hits was his first #1 on the Billboard Charts?  Give up?  </w:t>
      </w:r>
      <w:r w:rsidR="004D4931">
        <w:rPr>
          <w:rFonts w:eastAsia="Arial"/>
          <w:bCs/>
          <w:i/>
          <w:iCs/>
          <w:color w:val="auto"/>
          <w:kern w:val="0"/>
          <w:sz w:val="28"/>
          <w:szCs w:val="28"/>
          <w14:ligatures w14:val="none"/>
        </w:rPr>
        <w:t>“</w:t>
      </w:r>
      <w:r w:rsidR="000F2531">
        <w:rPr>
          <w:rFonts w:eastAsia="Arial"/>
          <w:bCs/>
          <w:i/>
          <w:iCs/>
          <w:color w:val="auto"/>
          <w:kern w:val="0"/>
          <w:sz w:val="28"/>
          <w:szCs w:val="28"/>
          <w14:ligatures w14:val="none"/>
        </w:rPr>
        <w:t>Heartbreak Hotel.</w:t>
      </w:r>
      <w:r w:rsidR="004D4931">
        <w:rPr>
          <w:rFonts w:eastAsia="Arial"/>
          <w:bCs/>
          <w:i/>
          <w:iCs/>
          <w:color w:val="auto"/>
          <w:kern w:val="0"/>
          <w:sz w:val="28"/>
          <w:szCs w:val="28"/>
          <w14:ligatures w14:val="none"/>
        </w:rPr>
        <w:t>”</w:t>
      </w:r>
      <w:r w:rsidR="000F2531">
        <w:rPr>
          <w:rFonts w:eastAsia="Arial"/>
          <w:bCs/>
          <w:i/>
          <w:iCs/>
          <w:color w:val="auto"/>
          <w:kern w:val="0"/>
          <w:sz w:val="28"/>
          <w:szCs w:val="28"/>
          <w14:ligatures w14:val="none"/>
        </w:rPr>
        <w:t xml:space="preserve">  Now, Elvis made is film debut in 1956.  Do you know the name of the film? (Hint, it was NOT the same name as his first #1 – but it is the same name as one of his famous songs)  Give up?  “Love me Tender”</w:t>
      </w:r>
      <w:r w:rsidR="00636F98">
        <w:rPr>
          <w:rFonts w:eastAsia="Arial"/>
          <w:bCs/>
          <w:i/>
          <w:iCs/>
          <w:color w:val="auto"/>
          <w:kern w:val="0"/>
          <w:sz w:val="28"/>
          <w:szCs w:val="28"/>
          <w14:ligatures w14:val="none"/>
        </w:rPr>
        <w:t xml:space="preserve">  But Elvis’ highest grossing film was Viva Las Vegas.  Maybe that is because of who his co-star was in that film.  Do you recall who co-starred with Elvis in Viva Las Vegas?  Ann Margaret.</w:t>
      </w:r>
      <w:r w:rsidR="004D4931">
        <w:rPr>
          <w:rFonts w:eastAsia="Arial"/>
          <w:bCs/>
          <w:i/>
          <w:iCs/>
          <w:color w:val="auto"/>
          <w:kern w:val="0"/>
          <w:sz w:val="28"/>
          <w:szCs w:val="28"/>
          <w14:ligatures w14:val="none"/>
        </w:rPr>
        <w:t xml:space="preserve">  We are just full of useless information here at the Good Judge-</w:t>
      </w:r>
      <w:proofErr w:type="spellStart"/>
      <w:r w:rsidR="004D4931">
        <w:rPr>
          <w:rFonts w:eastAsia="Arial"/>
          <w:bCs/>
          <w:i/>
          <w:iCs/>
          <w:color w:val="auto"/>
          <w:kern w:val="0"/>
          <w:sz w:val="28"/>
          <w:szCs w:val="28"/>
          <w14:ligatures w14:val="none"/>
        </w:rPr>
        <w:t>Ment</w:t>
      </w:r>
      <w:proofErr w:type="spellEnd"/>
      <w:r w:rsidR="004D4931">
        <w:rPr>
          <w:rFonts w:eastAsia="Arial"/>
          <w:bCs/>
          <w:i/>
          <w:iCs/>
          <w:color w:val="auto"/>
          <w:kern w:val="0"/>
          <w:sz w:val="28"/>
          <w:szCs w:val="28"/>
          <w14:ligatures w14:val="none"/>
        </w:rPr>
        <w:t xml:space="preserve"> Podcast.</w:t>
      </w:r>
    </w:p>
    <w:bookmarkEnd w:id="0"/>
    <w:p w14:paraId="79C2B610" w14:textId="77777777" w:rsidR="00CA7A2F" w:rsidRPr="00CA7A2F" w:rsidRDefault="00CA7A2F" w:rsidP="00CA7A2F">
      <w:pPr>
        <w:spacing w:before="120" w:after="240" w:line="480" w:lineRule="auto"/>
        <w:ind w:right="720"/>
        <w:rPr>
          <w:rFonts w:eastAsia="Arial"/>
          <w:b/>
          <w:color w:val="auto"/>
          <w:kern w:val="0"/>
          <w:sz w:val="28"/>
          <w:szCs w:val="28"/>
          <w14:ligatures w14:val="none"/>
        </w:rPr>
      </w:pPr>
    </w:p>
    <w:sectPr w:rsidR="00CA7A2F" w:rsidRPr="00CA7A2F" w:rsidSect="00555CD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73AA" w14:textId="77777777" w:rsidR="00E20396" w:rsidRDefault="00E20396" w:rsidP="00A52F35">
      <w:r>
        <w:separator/>
      </w:r>
    </w:p>
  </w:endnote>
  <w:endnote w:type="continuationSeparator" w:id="0">
    <w:p w14:paraId="01B81773" w14:textId="77777777" w:rsidR="00E20396" w:rsidRDefault="00E20396" w:rsidP="00A52F35">
      <w:r>
        <w:continuationSeparator/>
      </w:r>
    </w:p>
  </w:endnote>
  <w:endnote w:id="1">
    <w:p w14:paraId="7E87F0EF" w14:textId="220A0D55" w:rsidR="008138CD" w:rsidRDefault="008138CD">
      <w:pPr>
        <w:pStyle w:val="EndnoteText"/>
      </w:pPr>
      <w:r>
        <w:rPr>
          <w:rStyle w:val="EndnoteReference"/>
        </w:rPr>
        <w:endnoteRef/>
      </w:r>
      <w:r>
        <w:t xml:space="preserve"> </w:t>
      </w:r>
      <w:r>
        <w:t xml:space="preserve">According to Judge Goger, the law changed in 1971 and 1972 to promote judicial economy.  Jack Goger, </w:t>
      </w:r>
      <w:r>
        <w:rPr>
          <w:i/>
        </w:rPr>
        <w:t>Daniel’s Georgia Criminal Trial Practice</w:t>
      </w:r>
      <w:r>
        <w:t>, §14:72, (West Pub. 2016-2017 Ed.)</w:t>
      </w:r>
      <w:r>
        <w:t>.</w:t>
      </w:r>
    </w:p>
  </w:endnote>
  <w:endnote w:id="2">
    <w:p w14:paraId="4ABA865B" w14:textId="07FC82BB" w:rsidR="00B3052C" w:rsidRDefault="00B3052C">
      <w:pPr>
        <w:pStyle w:val="EndnoteText"/>
      </w:pPr>
      <w:r>
        <w:rPr>
          <w:rStyle w:val="EndnoteReference"/>
        </w:rPr>
        <w:endnoteRef/>
      </w:r>
      <w:r>
        <w:t xml:space="preserve"> O.C.G.A. § 17-8-4(a).</w:t>
      </w:r>
    </w:p>
  </w:endnote>
  <w:endnote w:id="3">
    <w:p w14:paraId="6FB18B8D" w14:textId="1A187972" w:rsidR="00CC4ED3" w:rsidRDefault="00CC4ED3">
      <w:pPr>
        <w:pStyle w:val="EndnoteText"/>
      </w:pPr>
      <w:r>
        <w:rPr>
          <w:rStyle w:val="EndnoteReference"/>
        </w:rPr>
        <w:endnoteRef/>
      </w:r>
      <w:r>
        <w:t xml:space="preserve"> </w:t>
      </w:r>
      <w:r>
        <w:rPr>
          <w:i/>
          <w:iCs/>
        </w:rPr>
        <w:t>Adams v. State</w:t>
      </w:r>
      <w:r>
        <w:t>, 231 Ga.App. 279 (1998).</w:t>
      </w:r>
    </w:p>
  </w:endnote>
  <w:endnote w:id="4">
    <w:p w14:paraId="7A5D98E3" w14:textId="2C6C0A8F" w:rsidR="00CC4ED3" w:rsidRDefault="00CC4ED3">
      <w:pPr>
        <w:pStyle w:val="EndnoteText"/>
      </w:pPr>
      <w:r>
        <w:rPr>
          <w:rStyle w:val="EndnoteReference"/>
        </w:rPr>
        <w:endnoteRef/>
      </w:r>
      <w:r>
        <w:t xml:space="preserve"> </w:t>
      </w:r>
      <w:r>
        <w:rPr>
          <w:i/>
        </w:rPr>
        <w:t>Brinson v. State</w:t>
      </w:r>
      <w:r>
        <w:t xml:space="preserve">, 288 Ga. 435, 435-436 (2011), citing </w:t>
      </w:r>
      <w:r>
        <w:rPr>
          <w:i/>
        </w:rPr>
        <w:t>Krause v. State</w:t>
      </w:r>
      <w:r>
        <w:t xml:space="preserve">, 286 Ga. 745, 749 (2010); </w:t>
      </w:r>
      <w:r>
        <w:rPr>
          <w:i/>
        </w:rPr>
        <w:t>Morris v. State</w:t>
      </w:r>
      <w:r>
        <w:t xml:space="preserve">, 204 Ga. App. 437 (1992); </w:t>
      </w:r>
      <w:r>
        <w:rPr>
          <w:i/>
        </w:rPr>
        <w:t>Colbert v. State</w:t>
      </w:r>
      <w:r>
        <w:t xml:space="preserve">, 345 Ga. App. 554, 557 (2018).  See also </w:t>
      </w:r>
      <w:r>
        <w:rPr>
          <w:i/>
          <w:iCs/>
        </w:rPr>
        <w:t>Evans v. State</w:t>
      </w:r>
      <w:r>
        <w:t>, 360 Ga.App. 596, 601-602 (2021).</w:t>
      </w:r>
    </w:p>
  </w:endnote>
  <w:endnote w:id="5">
    <w:p w14:paraId="010F905F" w14:textId="77777777" w:rsidR="0054544B" w:rsidRPr="00287A9B" w:rsidRDefault="0054544B" w:rsidP="0054544B">
      <w:pPr>
        <w:pStyle w:val="EndnoteText"/>
      </w:pPr>
      <w:r>
        <w:rPr>
          <w:rStyle w:val="EndnoteReference"/>
        </w:rPr>
        <w:endnoteRef/>
      </w:r>
      <w:r>
        <w:t xml:space="preserve"> </w:t>
      </w:r>
      <w:r>
        <w:rPr>
          <w:i/>
        </w:rPr>
        <w:t>Brinson v. State</w:t>
      </w:r>
      <w:r>
        <w:t xml:space="preserve">, 288 Ga. 435, 435-436 (2011); </w:t>
      </w:r>
      <w:r>
        <w:rPr>
          <w:i/>
          <w:iCs/>
        </w:rPr>
        <w:t>Smith v. State</w:t>
      </w:r>
      <w:r>
        <w:t>, 308 Ga. 81, 85 (2020).</w:t>
      </w:r>
    </w:p>
  </w:endnote>
  <w:endnote w:id="6">
    <w:p w14:paraId="4D222A7C" w14:textId="77777777" w:rsidR="0054544B" w:rsidRPr="00287A9B" w:rsidRDefault="0054544B" w:rsidP="0054544B">
      <w:pPr>
        <w:pStyle w:val="EndnoteText"/>
      </w:pPr>
      <w:r>
        <w:rPr>
          <w:rStyle w:val="EndnoteReference"/>
        </w:rPr>
        <w:endnoteRef/>
      </w:r>
      <w:r>
        <w:t xml:space="preserve"> O.C.G.A. § 17-8-4(a); </w:t>
      </w:r>
      <w:r>
        <w:rPr>
          <w:i/>
          <w:iCs/>
        </w:rPr>
        <w:t>Smith v. State</w:t>
      </w:r>
      <w:r>
        <w:t>, 308 Ga. 81, 85 (2020).</w:t>
      </w:r>
    </w:p>
  </w:endnote>
  <w:endnote w:id="7">
    <w:p w14:paraId="17CFCA23" w14:textId="77777777" w:rsidR="0054544B" w:rsidRPr="007A3564" w:rsidRDefault="0054544B" w:rsidP="0054544B">
      <w:pPr>
        <w:pStyle w:val="EndnoteText"/>
      </w:pPr>
      <w:r>
        <w:rPr>
          <w:rStyle w:val="EndnoteReference"/>
        </w:rPr>
        <w:endnoteRef/>
      </w:r>
      <w:bookmarkStart w:id="2" w:name="_Hlk143886994"/>
      <w:r>
        <w:t xml:space="preserve"> </w:t>
      </w:r>
      <w:r>
        <w:rPr>
          <w:i/>
        </w:rPr>
        <w:t>Brinson v. State</w:t>
      </w:r>
      <w:r>
        <w:t xml:space="preserve">, 288 Ga. 435, 435-436 (2011), citing </w:t>
      </w:r>
      <w:r>
        <w:rPr>
          <w:i/>
        </w:rPr>
        <w:t>Krause v. State</w:t>
      </w:r>
      <w:r>
        <w:t xml:space="preserve">, 286 Ga. 745, 749 (2010); </w:t>
      </w:r>
      <w:r>
        <w:rPr>
          <w:i/>
        </w:rPr>
        <w:t>Morris v. State</w:t>
      </w:r>
      <w:r>
        <w:t xml:space="preserve">, 204 Ga. App. 437 (1992); </w:t>
      </w:r>
      <w:r>
        <w:rPr>
          <w:i/>
        </w:rPr>
        <w:t>Colbert v. State</w:t>
      </w:r>
      <w:r>
        <w:t xml:space="preserve">, 345 Ga. App. 554, 557 (2018).  See also </w:t>
      </w:r>
      <w:r>
        <w:rPr>
          <w:i/>
          <w:iCs/>
        </w:rPr>
        <w:t>Evans v. State</w:t>
      </w:r>
      <w:r>
        <w:t>, 360 Ga.App. 596, 601-602 (2021).</w:t>
      </w:r>
      <w:bookmarkEnd w:id="2"/>
    </w:p>
  </w:endnote>
  <w:endnote w:id="8">
    <w:p w14:paraId="3D6B700C" w14:textId="3C40F22E" w:rsidR="00DC7FAB" w:rsidRDefault="00DC7FAB">
      <w:pPr>
        <w:pStyle w:val="EndnoteText"/>
      </w:pPr>
      <w:r>
        <w:rPr>
          <w:rStyle w:val="EndnoteReference"/>
        </w:rPr>
        <w:endnoteRef/>
      </w:r>
      <w:r>
        <w:t xml:space="preserve"> </w:t>
      </w:r>
      <w:r>
        <w:rPr>
          <w:i/>
          <w:iCs/>
        </w:rPr>
        <w:t>Evans v. State</w:t>
      </w:r>
      <w:r>
        <w:t xml:space="preserve">, 360 Ga.App. 596, 602-603 (2021), citing another RICO case, </w:t>
      </w:r>
      <w:r>
        <w:rPr>
          <w:i/>
          <w:iCs/>
        </w:rPr>
        <w:t>Martin v. State</w:t>
      </w:r>
      <w:r>
        <w:t>, 189 Ga.App. 483, 488 (1988).</w:t>
      </w:r>
    </w:p>
  </w:endnote>
  <w:endnote w:id="9">
    <w:p w14:paraId="3C20302E" w14:textId="77777777" w:rsidR="00763690" w:rsidRPr="003C3BFA" w:rsidRDefault="00763690" w:rsidP="00763690">
      <w:pPr>
        <w:pStyle w:val="EndnoteText"/>
      </w:pPr>
      <w:r>
        <w:rPr>
          <w:rStyle w:val="EndnoteReference"/>
        </w:rPr>
        <w:endnoteRef/>
      </w:r>
      <w:r>
        <w:t xml:space="preserve"> </w:t>
      </w:r>
      <w:r>
        <w:rPr>
          <w:i/>
          <w:iCs/>
        </w:rPr>
        <w:t>Evans v. State</w:t>
      </w:r>
      <w:r>
        <w:t xml:space="preserve">, 360 Ga.App. 596, 603 (2021); </w:t>
      </w:r>
      <w:r>
        <w:rPr>
          <w:i/>
          <w:iCs/>
        </w:rPr>
        <w:t>Smith v. State</w:t>
      </w:r>
      <w:r>
        <w:t xml:space="preserve">, 308 Ga. 81, 85 (2020), citing </w:t>
      </w:r>
      <w:r>
        <w:rPr>
          <w:i/>
          <w:iCs/>
        </w:rPr>
        <w:t>Palmer v. State</w:t>
      </w:r>
      <w:r>
        <w:t>, 303 Ga. 810, 814-815 (2018).</w:t>
      </w:r>
    </w:p>
  </w:endnote>
  <w:endnote w:id="10">
    <w:p w14:paraId="7C0412A9" w14:textId="0B8D6382" w:rsidR="001A442C" w:rsidRDefault="001A442C">
      <w:pPr>
        <w:pStyle w:val="EndnoteText"/>
      </w:pPr>
      <w:r>
        <w:rPr>
          <w:rStyle w:val="EndnoteReference"/>
        </w:rPr>
        <w:endnoteRef/>
      </w:r>
      <w:r>
        <w:t xml:space="preserve"> </w:t>
      </w:r>
      <w:r>
        <w:rPr>
          <w:i/>
          <w:iCs/>
        </w:rPr>
        <w:t>Smith v. State</w:t>
      </w:r>
      <w:r>
        <w:t>, 308 Ga. 81, 85-86 (2020).</w:t>
      </w:r>
    </w:p>
  </w:endnote>
  <w:endnote w:id="11">
    <w:p w14:paraId="3ABAB007" w14:textId="77777777" w:rsidR="00905B57" w:rsidRDefault="00905B57" w:rsidP="00905B57">
      <w:pPr>
        <w:pStyle w:val="EndnoteText"/>
      </w:pPr>
      <w:r>
        <w:rPr>
          <w:rStyle w:val="EndnoteReference"/>
        </w:rPr>
        <w:endnoteRef/>
      </w:r>
      <w:r>
        <w:t xml:space="preserve"> </w:t>
      </w:r>
      <w:r>
        <w:rPr>
          <w:i/>
        </w:rPr>
        <w:t>Bruton v. U.S.</w:t>
      </w:r>
      <w:r>
        <w:t>, 391 U.S. 123 (1968).</w:t>
      </w:r>
    </w:p>
  </w:endnote>
  <w:endnote w:id="12">
    <w:p w14:paraId="70C71AF7" w14:textId="1AD457D6" w:rsidR="007E60C0" w:rsidRDefault="007E60C0">
      <w:pPr>
        <w:pStyle w:val="EndnoteText"/>
      </w:pPr>
      <w:r>
        <w:rPr>
          <w:rStyle w:val="EndnoteReference"/>
        </w:rPr>
        <w:endnoteRef/>
      </w:r>
      <w:r>
        <w:t xml:space="preserve"> </w:t>
      </w:r>
      <w:r>
        <w:rPr>
          <w:i/>
        </w:rPr>
        <w:t>Crawford v. Washington</w:t>
      </w:r>
      <w:r>
        <w:t xml:space="preserve">, 541 U.S. 36 (2004).  Just as a reminder, </w:t>
      </w:r>
      <w:r>
        <w:rPr>
          <w:i/>
        </w:rPr>
        <w:t>Crawford</w:t>
      </w:r>
      <w:r>
        <w:t xml:space="preserve"> stands for the proposition that, under the 6</w:t>
      </w:r>
      <w:r w:rsidRPr="00DC1CC6">
        <w:rPr>
          <w:vertAlign w:val="superscript"/>
        </w:rPr>
        <w:t>th</w:t>
      </w:r>
      <w:r>
        <w:t xml:space="preserve"> Amendment, a defendant is entitled to confront his/her accusers and any </w:t>
      </w:r>
      <w:r w:rsidRPr="004567FA">
        <w:rPr>
          <w:b/>
          <w:i/>
          <w:u w:val="single"/>
        </w:rPr>
        <w:t>testimonial</w:t>
      </w:r>
      <w:r>
        <w:t xml:space="preserve"> evidence requires a “live” witness unless the defendant had a previous opportunity to cross-examine the maker of the statement.  See </w:t>
      </w:r>
      <w:r>
        <w:rPr>
          <w:i/>
        </w:rPr>
        <w:t>Colton v. State</w:t>
      </w:r>
      <w:r>
        <w:t xml:space="preserve">, 292 Ga. 509, 512 (2013); </w:t>
      </w:r>
      <w:r>
        <w:rPr>
          <w:i/>
        </w:rPr>
        <w:t>Williams v. Illinois</w:t>
      </w:r>
      <w:r>
        <w:t>, 567 U.S. 50, 64-65 (2012).</w:t>
      </w:r>
    </w:p>
  </w:endnote>
  <w:endnote w:id="13">
    <w:p w14:paraId="0710D217" w14:textId="776C5C11" w:rsidR="005273E6" w:rsidRDefault="005273E6">
      <w:pPr>
        <w:pStyle w:val="EndnoteText"/>
      </w:pPr>
      <w:r>
        <w:rPr>
          <w:rStyle w:val="EndnoteReference"/>
        </w:rPr>
        <w:endnoteRef/>
      </w:r>
      <w:r>
        <w:t xml:space="preserve"> </w:t>
      </w:r>
      <w:r>
        <w:rPr>
          <w:i/>
          <w:iCs/>
        </w:rPr>
        <w:t>Henderson v. State</w:t>
      </w:r>
      <w:r>
        <w:t xml:space="preserve">, 2023 WL 5338772, </w:t>
      </w:r>
      <w:r w:rsidRPr="000F199C">
        <w:t>S23A0559, S23A0720</w:t>
      </w:r>
      <w:r>
        <w:t xml:space="preserve"> (Ga. 8/21/2023).</w:t>
      </w:r>
    </w:p>
  </w:endnote>
  <w:endnote w:id="14">
    <w:p w14:paraId="0E2B1EB5" w14:textId="408A3772" w:rsidR="005273E6" w:rsidRDefault="005273E6">
      <w:pPr>
        <w:pStyle w:val="EndnoteText"/>
      </w:pPr>
      <w:r>
        <w:rPr>
          <w:rStyle w:val="EndnoteReference"/>
        </w:rPr>
        <w:endnoteRef/>
      </w:r>
      <w:r>
        <w:t xml:space="preserve"> </w:t>
      </w:r>
      <w:r>
        <w:rPr>
          <w:i/>
          <w:iCs/>
        </w:rPr>
        <w:t>Henderson</w:t>
      </w:r>
      <w:r>
        <w:t>, at page 7 of slip opinion.</w:t>
      </w:r>
    </w:p>
  </w:endnote>
  <w:endnote w:id="15">
    <w:p w14:paraId="2D56D95E" w14:textId="77777777" w:rsidR="00BB4ABC" w:rsidRPr="00465B1B" w:rsidRDefault="00BB4ABC" w:rsidP="00BB4ABC">
      <w:pPr>
        <w:pStyle w:val="EndnoteText"/>
      </w:pPr>
      <w:r>
        <w:rPr>
          <w:rStyle w:val="EndnoteReference"/>
        </w:rPr>
        <w:endnoteRef/>
      </w:r>
      <w:r>
        <w:t xml:space="preserve"> </w:t>
      </w:r>
      <w:r>
        <w:rPr>
          <w:i/>
          <w:iCs/>
        </w:rPr>
        <w:t>Henderson</w:t>
      </w:r>
      <w:r>
        <w:t>, at page 8 of slip opinion.</w:t>
      </w:r>
    </w:p>
  </w:endnote>
  <w:endnote w:id="16">
    <w:p w14:paraId="6FD366E7" w14:textId="77777777" w:rsidR="00A443C0" w:rsidRPr="00DC1CC6" w:rsidRDefault="00A443C0" w:rsidP="00A443C0">
      <w:pPr>
        <w:pStyle w:val="EndnoteText"/>
      </w:pPr>
      <w:r>
        <w:rPr>
          <w:rStyle w:val="EndnoteReference"/>
        </w:rPr>
        <w:endnoteRef/>
      </w:r>
      <w:r>
        <w:t xml:space="preserve"> </w:t>
      </w:r>
      <w:r>
        <w:rPr>
          <w:i/>
        </w:rPr>
        <w:t>State v. Smith</w:t>
      </w:r>
      <w:r>
        <w:t xml:space="preserve">, 302 Ga. 837, 838-839 (2018); </w:t>
      </w:r>
      <w:r>
        <w:rPr>
          <w:i/>
        </w:rPr>
        <w:t>Sutton v. State</w:t>
      </w:r>
      <w:r>
        <w:t>, 295 Ga. 350, 353 (2014).</w:t>
      </w:r>
    </w:p>
  </w:endnote>
  <w:endnote w:id="17">
    <w:p w14:paraId="2A0E06C1" w14:textId="77777777" w:rsidR="00A443C0" w:rsidRPr="00F37683" w:rsidRDefault="00A443C0" w:rsidP="00A443C0">
      <w:pPr>
        <w:pStyle w:val="EndnoteText"/>
      </w:pPr>
      <w:r>
        <w:rPr>
          <w:rStyle w:val="EndnoteReference"/>
        </w:rPr>
        <w:endnoteRef/>
      </w:r>
      <w:r>
        <w:t xml:space="preserve"> </w:t>
      </w:r>
      <w:r>
        <w:rPr>
          <w:i/>
          <w:iCs/>
        </w:rPr>
        <w:t>Henderson</w:t>
      </w:r>
      <w:r>
        <w:t xml:space="preserve">, at page 8 of slip opinion, citing </w:t>
      </w:r>
      <w:proofErr w:type="spellStart"/>
      <w:r>
        <w:rPr>
          <w:i/>
          <w:iCs/>
        </w:rPr>
        <w:t>Hanifa</w:t>
      </w:r>
      <w:proofErr w:type="spellEnd"/>
      <w:r>
        <w:rPr>
          <w:i/>
          <w:iCs/>
        </w:rPr>
        <w:t xml:space="preserve"> v. State</w:t>
      </w:r>
      <w:r>
        <w:t xml:space="preserve">, 269 Ga. 797, 804 (1988), disapproved on other grounds by </w:t>
      </w:r>
      <w:r>
        <w:rPr>
          <w:i/>
          <w:iCs/>
        </w:rPr>
        <w:t>Clark v. State</w:t>
      </w:r>
      <w:r>
        <w:t xml:space="preserve">, 315 Ga. 423 (2023).  Honestly, there are a variety of ways to have the statement redacted to remove references to any particular defendant by name or nickname but the trial court must be careful to ensure that the manner in which the statement is redacted does not inevitably point to any co-defendant (i.e. removing all name references except the defendant’s).  See the example of a permissible redaction in </w:t>
      </w:r>
      <w:r>
        <w:rPr>
          <w:i/>
          <w:iCs/>
        </w:rPr>
        <w:t>Henderson</w:t>
      </w:r>
      <w:r>
        <w:t>, supra.</w:t>
      </w:r>
    </w:p>
  </w:endnote>
  <w:endnote w:id="18">
    <w:p w14:paraId="437F8E21" w14:textId="77777777" w:rsidR="00BE425E" w:rsidRPr="00DE3876" w:rsidRDefault="00BE425E" w:rsidP="00BE425E">
      <w:pPr>
        <w:pStyle w:val="EndnoteText"/>
      </w:pPr>
      <w:r>
        <w:rPr>
          <w:rStyle w:val="EndnoteReference"/>
        </w:rPr>
        <w:endnoteRef/>
      </w:r>
      <w:r>
        <w:t xml:space="preserve"> </w:t>
      </w:r>
      <w:r>
        <w:rPr>
          <w:i/>
        </w:rPr>
        <w:t>Bennett v. State</w:t>
      </w:r>
      <w:r>
        <w:t>, 266 Ga. App. 502, 505 (2004).</w:t>
      </w:r>
    </w:p>
  </w:endnote>
  <w:endnote w:id="19">
    <w:p w14:paraId="05313B58" w14:textId="77777777" w:rsidR="00BE425E" w:rsidRPr="00D528FF" w:rsidRDefault="00BE425E" w:rsidP="00BE425E">
      <w:pPr>
        <w:pStyle w:val="EndnoteText"/>
      </w:pPr>
      <w:r>
        <w:rPr>
          <w:rStyle w:val="EndnoteReference"/>
        </w:rPr>
        <w:endnoteRef/>
      </w:r>
      <w:r>
        <w:t xml:space="preserve"> </w:t>
      </w:r>
      <w:r>
        <w:rPr>
          <w:i/>
        </w:rPr>
        <w:t>Gray v. Maryland</w:t>
      </w:r>
      <w:r>
        <w:t xml:space="preserve">, 523 U.S. 185 (1988); See </w:t>
      </w:r>
      <w:r>
        <w:rPr>
          <w:i/>
        </w:rPr>
        <w:t>McDonald v. State</w:t>
      </w:r>
      <w:r>
        <w:t>, 210 Ga. App. 689, 690 (1993).</w:t>
      </w:r>
    </w:p>
  </w:endnote>
  <w:endnote w:id="20">
    <w:p w14:paraId="4DCD2156" w14:textId="579EA8DA" w:rsidR="00B7006F" w:rsidRDefault="00B7006F">
      <w:pPr>
        <w:pStyle w:val="EndnoteText"/>
      </w:pPr>
      <w:r>
        <w:rPr>
          <w:rStyle w:val="EndnoteReference"/>
        </w:rPr>
        <w:endnoteRef/>
      </w:r>
      <w:r>
        <w:t xml:space="preserve"> </w:t>
      </w:r>
      <w:r>
        <w:rPr>
          <w:i/>
        </w:rPr>
        <w:t>Smith v. State</w:t>
      </w:r>
      <w:r>
        <w:t>, 302 Ga. 837, 840 (2018).</w:t>
      </w:r>
    </w:p>
  </w:endnote>
  <w:endnote w:id="21">
    <w:p w14:paraId="1652EF72" w14:textId="77777777" w:rsidR="0024265A" w:rsidRDefault="0024265A" w:rsidP="0024265A">
      <w:pPr>
        <w:pStyle w:val="EndnoteText"/>
      </w:pPr>
      <w:r>
        <w:rPr>
          <w:rStyle w:val="EndnoteReference"/>
        </w:rPr>
        <w:endnoteRef/>
      </w:r>
      <w:r>
        <w:t xml:space="preserve"> </w:t>
      </w:r>
      <w:r w:rsidRPr="003A083C">
        <w:t>O.C.G.A. §</w:t>
      </w:r>
      <w:r>
        <w:t xml:space="preserve"> 24-8-801(d)(2)(E).  The court determines if the preliminary foundation has been proven, not the jury. §24-1-104(a).</w:t>
      </w:r>
    </w:p>
  </w:endnote>
  <w:endnote w:id="22">
    <w:p w14:paraId="2AC3BCF3" w14:textId="65752289" w:rsidR="0024265A" w:rsidRDefault="0024265A">
      <w:pPr>
        <w:pStyle w:val="EndnoteText"/>
      </w:pPr>
      <w:r>
        <w:rPr>
          <w:rStyle w:val="EndnoteReference"/>
        </w:rPr>
        <w:endnoteRef/>
      </w:r>
      <w:r>
        <w:t xml:space="preserve"> </w:t>
      </w:r>
      <w:r w:rsidR="007B06BD">
        <w:t xml:space="preserve">See </w:t>
      </w:r>
      <w:r w:rsidR="007B06BD">
        <w:rPr>
          <w:i/>
          <w:iCs/>
        </w:rPr>
        <w:t>Stafford v. State</w:t>
      </w:r>
      <w:r w:rsidR="007B06BD">
        <w:t xml:space="preserve">, 312 Ga. 811, 823 (2021), citing </w:t>
      </w:r>
      <w:r w:rsidR="007B06BD">
        <w:rPr>
          <w:i/>
          <w:iCs/>
        </w:rPr>
        <w:t>Allen v. State</w:t>
      </w:r>
      <w:r w:rsidR="007B06BD">
        <w:t xml:space="preserve">, 310 Ga. 411, 413 (2020).  See also </w:t>
      </w:r>
      <w:r w:rsidR="007B06BD">
        <w:rPr>
          <w:i/>
          <w:iCs/>
        </w:rPr>
        <w:t>Mosley v. State</w:t>
      </w:r>
      <w:r w:rsidR="007B06BD">
        <w:t>, 307 Ga. 711, 716-717 (2020) for an interesting “twist” on a statement that seemingly was merely a “spilling the beans” statement made during an ongoing crime spree.</w:t>
      </w:r>
    </w:p>
  </w:endnote>
  <w:endnote w:id="23">
    <w:p w14:paraId="0AC63DC4" w14:textId="5381ED69" w:rsidR="00916422" w:rsidRDefault="00916422">
      <w:pPr>
        <w:pStyle w:val="EndnoteText"/>
      </w:pPr>
      <w:r>
        <w:rPr>
          <w:rStyle w:val="EndnoteReference"/>
        </w:rPr>
        <w:endnoteRef/>
      </w:r>
      <w:r>
        <w:t xml:space="preserve"> </w:t>
      </w:r>
      <w:r>
        <w:rPr>
          <w:i/>
          <w:iCs/>
        </w:rPr>
        <w:t>Mosley v. State</w:t>
      </w:r>
      <w:r>
        <w:t>, 307 Ga. 711, 716-717 (2020) for an interesting “twist” on a statement that seemingly was merely a “spilling the beans” statement made during an ongoing crime spree.</w:t>
      </w:r>
      <w:r>
        <w:t xml:space="preserve"> – this case in highly unique on the facts and I think it would be rarely repeated – but you need to know about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9676" w14:textId="77777777" w:rsidR="008076B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C3CA" w14:textId="77777777" w:rsidR="00064D0B" w:rsidRDefault="00064D0B" w:rsidP="00C527D7">
    <w:pPr>
      <w:pStyle w:val="Footer"/>
      <w:tabs>
        <w:tab w:val="clear" w:pos="4680"/>
        <w:tab w:val="clear" w:pos="9360"/>
      </w:tabs>
      <w:jc w:val="center"/>
      <w:rPr>
        <w:b/>
        <w:bCs/>
        <w:sz w:val="20"/>
        <w:szCs w:val="20"/>
      </w:rPr>
    </w:pPr>
  </w:p>
  <w:p w14:paraId="4B16A50F" w14:textId="67D03772" w:rsidR="003D0F81" w:rsidRDefault="00064D0B" w:rsidP="00C527D7">
    <w:pPr>
      <w:pStyle w:val="Footer"/>
      <w:tabs>
        <w:tab w:val="clear" w:pos="4680"/>
        <w:tab w:val="clear" w:pos="9360"/>
      </w:tabs>
      <w:jc w:val="center"/>
      <w:rPr>
        <w:b/>
        <w:bCs/>
        <w:sz w:val="20"/>
        <w:szCs w:val="20"/>
      </w:rPr>
    </w:pPr>
    <w:r>
      <w:rPr>
        <w:b/>
        <w:bCs/>
        <w:sz w:val="20"/>
        <w:szCs w:val="20"/>
      </w:rPr>
      <w:t>CRIMINAL TRIALS WITH MULTIIPLE DEFENDANTS</w:t>
    </w:r>
    <w:r w:rsidR="00831FEF" w:rsidRPr="00D47131">
      <w:rPr>
        <w:b/>
        <w:bCs/>
        <w:sz w:val="20"/>
        <w:szCs w:val="20"/>
      </w:rPr>
      <w:t xml:space="preserve"> </w:t>
    </w:r>
    <w:r w:rsidR="00831FEF">
      <w:rPr>
        <w:b/>
        <w:bCs/>
        <w:sz w:val="20"/>
        <w:szCs w:val="20"/>
      </w:rPr>
      <w:t>- EPISODE NOTES</w:t>
    </w:r>
    <w:r w:rsidR="004D4931">
      <w:rPr>
        <w:b/>
        <w:bCs/>
        <w:sz w:val="20"/>
        <w:szCs w:val="20"/>
      </w:rPr>
      <w:t xml:space="preserve"> – PART 1</w:t>
    </w:r>
  </w:p>
  <w:p w14:paraId="3EC713CE" w14:textId="336E2ECA" w:rsidR="003D0F81" w:rsidRPr="00DB0007" w:rsidRDefault="00000000" w:rsidP="00C527D7">
    <w:pPr>
      <w:pStyle w:val="Footer"/>
      <w:tabs>
        <w:tab w:val="clear" w:pos="4680"/>
        <w:tab w:val="clear" w:pos="9360"/>
      </w:tabs>
      <w:jc w:val="center"/>
      <w:rPr>
        <w:b/>
        <w:bCs/>
        <w:sz w:val="20"/>
        <w:szCs w:val="20"/>
      </w:rPr>
    </w:pPr>
    <w:r>
      <w:rPr>
        <w:b/>
        <w:bCs/>
        <w:sz w:val="20"/>
        <w:szCs w:val="20"/>
      </w:rPr>
      <w:t>RECORDED 8/</w:t>
    </w:r>
    <w:r w:rsidR="00377C23">
      <w:rPr>
        <w:b/>
        <w:bCs/>
        <w:sz w:val="20"/>
        <w:szCs w:val="20"/>
      </w:rPr>
      <w:t>2</w:t>
    </w:r>
    <w:r w:rsidR="00064D0B">
      <w:rPr>
        <w:b/>
        <w:bCs/>
        <w:sz w:val="20"/>
        <w:szCs w:val="20"/>
      </w:rPr>
      <w:t>8</w:t>
    </w:r>
    <w:r>
      <w:rPr>
        <w:b/>
        <w:bCs/>
        <w:sz w:val="20"/>
        <w:szCs w:val="20"/>
      </w:rPr>
      <w:t>/2023</w:t>
    </w:r>
  </w:p>
  <w:p w14:paraId="764F9A21" w14:textId="77777777" w:rsidR="003D0F81" w:rsidRDefault="00000000"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noProof/>
        <w:sz w:val="20"/>
        <w:szCs w:val="20"/>
      </w:rPr>
      <w:t>1</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noProof/>
        <w:sz w:val="20"/>
        <w:szCs w:val="20"/>
      </w:rPr>
      <w:t>1</w:t>
    </w:r>
    <w:r w:rsidRPr="00DB0007">
      <w:rPr>
        <w:b/>
        <w:bCs/>
        <w:sz w:val="20"/>
        <w:szCs w:val="20"/>
      </w:rPr>
      <w:fldChar w:fldCharType="end"/>
    </w:r>
  </w:p>
  <w:p w14:paraId="66D8CB16" w14:textId="77777777" w:rsidR="003D0F8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7D16" w14:textId="77777777" w:rsidR="008076B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527F" w14:textId="77777777" w:rsidR="00E20396" w:rsidRDefault="00E20396" w:rsidP="00A52F35">
      <w:r>
        <w:separator/>
      </w:r>
    </w:p>
  </w:footnote>
  <w:footnote w:type="continuationSeparator" w:id="0">
    <w:p w14:paraId="5D30F584" w14:textId="77777777" w:rsidR="00E20396" w:rsidRDefault="00E20396" w:rsidP="00A5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BF84" w14:textId="77777777" w:rsidR="008076B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A916" w14:textId="77777777" w:rsidR="008076B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FA" w14:textId="77777777" w:rsidR="008076B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4175"/>
    <w:multiLevelType w:val="hybridMultilevel"/>
    <w:tmpl w:val="C58E5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5C87"/>
    <w:multiLevelType w:val="hybridMultilevel"/>
    <w:tmpl w:val="408E1B86"/>
    <w:lvl w:ilvl="0" w:tplc="D86E9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521C1"/>
    <w:multiLevelType w:val="hybridMultilevel"/>
    <w:tmpl w:val="D26E72CA"/>
    <w:lvl w:ilvl="0" w:tplc="C8D08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7BC6"/>
    <w:multiLevelType w:val="hybridMultilevel"/>
    <w:tmpl w:val="8040A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52644"/>
    <w:multiLevelType w:val="hybridMultilevel"/>
    <w:tmpl w:val="A6FA7858"/>
    <w:lvl w:ilvl="0" w:tplc="4D004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A53BB"/>
    <w:multiLevelType w:val="hybridMultilevel"/>
    <w:tmpl w:val="C068F66E"/>
    <w:lvl w:ilvl="0" w:tplc="FF60C2D4">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25329"/>
    <w:multiLevelType w:val="hybridMultilevel"/>
    <w:tmpl w:val="A0B4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957A1"/>
    <w:multiLevelType w:val="hybridMultilevel"/>
    <w:tmpl w:val="DE088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84038"/>
    <w:multiLevelType w:val="hybridMultilevel"/>
    <w:tmpl w:val="8070B0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22289"/>
    <w:multiLevelType w:val="hybridMultilevel"/>
    <w:tmpl w:val="49E66CA2"/>
    <w:lvl w:ilvl="0" w:tplc="A0882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AF0A31"/>
    <w:multiLevelType w:val="hybridMultilevel"/>
    <w:tmpl w:val="44E44B5C"/>
    <w:lvl w:ilvl="0" w:tplc="A10E3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2C4EDC"/>
    <w:multiLevelType w:val="hybridMultilevel"/>
    <w:tmpl w:val="5E7C47FE"/>
    <w:lvl w:ilvl="0" w:tplc="72325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20036"/>
    <w:multiLevelType w:val="hybridMultilevel"/>
    <w:tmpl w:val="7D50F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B791A"/>
    <w:multiLevelType w:val="hybridMultilevel"/>
    <w:tmpl w:val="5ECE6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368BA"/>
    <w:multiLevelType w:val="hybridMultilevel"/>
    <w:tmpl w:val="E7068CC2"/>
    <w:lvl w:ilvl="0" w:tplc="2D847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461FD4"/>
    <w:multiLevelType w:val="hybridMultilevel"/>
    <w:tmpl w:val="2F6E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140460">
    <w:abstractNumId w:val="6"/>
  </w:num>
  <w:num w:numId="2" w16cid:durableId="1574968890">
    <w:abstractNumId w:val="12"/>
  </w:num>
  <w:num w:numId="3" w16cid:durableId="1354571239">
    <w:abstractNumId w:val="0"/>
  </w:num>
  <w:num w:numId="4" w16cid:durableId="1469202647">
    <w:abstractNumId w:val="15"/>
  </w:num>
  <w:num w:numId="5" w16cid:durableId="1274047954">
    <w:abstractNumId w:val="7"/>
  </w:num>
  <w:num w:numId="6" w16cid:durableId="2020689834">
    <w:abstractNumId w:val="5"/>
  </w:num>
  <w:num w:numId="7" w16cid:durableId="642395985">
    <w:abstractNumId w:val="2"/>
  </w:num>
  <w:num w:numId="8" w16cid:durableId="1866793555">
    <w:abstractNumId w:val="1"/>
  </w:num>
  <w:num w:numId="9" w16cid:durableId="267932501">
    <w:abstractNumId w:val="4"/>
  </w:num>
  <w:num w:numId="10" w16cid:durableId="1170364110">
    <w:abstractNumId w:val="14"/>
  </w:num>
  <w:num w:numId="11" w16cid:durableId="523783925">
    <w:abstractNumId w:val="10"/>
  </w:num>
  <w:num w:numId="12" w16cid:durableId="151407999">
    <w:abstractNumId w:val="11"/>
  </w:num>
  <w:num w:numId="13" w16cid:durableId="383068771">
    <w:abstractNumId w:val="8"/>
  </w:num>
  <w:num w:numId="14" w16cid:durableId="1222670115">
    <w:abstractNumId w:val="3"/>
  </w:num>
  <w:num w:numId="15" w16cid:durableId="414862072">
    <w:abstractNumId w:val="9"/>
  </w:num>
  <w:num w:numId="16" w16cid:durableId="17830652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31"/>
    <w:rsid w:val="0003237A"/>
    <w:rsid w:val="00037707"/>
    <w:rsid w:val="00056659"/>
    <w:rsid w:val="00064D0B"/>
    <w:rsid w:val="000A1DDE"/>
    <w:rsid w:val="000B3423"/>
    <w:rsid w:val="000B6B05"/>
    <w:rsid w:val="000D63FE"/>
    <w:rsid w:val="000F2531"/>
    <w:rsid w:val="0010409A"/>
    <w:rsid w:val="00104359"/>
    <w:rsid w:val="001052C2"/>
    <w:rsid w:val="00170D82"/>
    <w:rsid w:val="00177945"/>
    <w:rsid w:val="00180A05"/>
    <w:rsid w:val="001A442C"/>
    <w:rsid w:val="001B123F"/>
    <w:rsid w:val="001C36B8"/>
    <w:rsid w:val="001E223E"/>
    <w:rsid w:val="001F1400"/>
    <w:rsid w:val="00216441"/>
    <w:rsid w:val="002358D9"/>
    <w:rsid w:val="002406B5"/>
    <w:rsid w:val="0024265A"/>
    <w:rsid w:val="00265AE4"/>
    <w:rsid w:val="002708B0"/>
    <w:rsid w:val="002764A9"/>
    <w:rsid w:val="00281A13"/>
    <w:rsid w:val="002C3EBC"/>
    <w:rsid w:val="002D73D0"/>
    <w:rsid w:val="002E0E05"/>
    <w:rsid w:val="00326B9C"/>
    <w:rsid w:val="00353401"/>
    <w:rsid w:val="00377C23"/>
    <w:rsid w:val="003807F3"/>
    <w:rsid w:val="003820C0"/>
    <w:rsid w:val="003A43D9"/>
    <w:rsid w:val="003D0441"/>
    <w:rsid w:val="003D0A1C"/>
    <w:rsid w:val="003E6485"/>
    <w:rsid w:val="00410F25"/>
    <w:rsid w:val="00425248"/>
    <w:rsid w:val="00427232"/>
    <w:rsid w:val="00447CA1"/>
    <w:rsid w:val="0045044F"/>
    <w:rsid w:val="004803DD"/>
    <w:rsid w:val="004869C1"/>
    <w:rsid w:val="004924FB"/>
    <w:rsid w:val="004D4931"/>
    <w:rsid w:val="0052076D"/>
    <w:rsid w:val="005273E6"/>
    <w:rsid w:val="005329E3"/>
    <w:rsid w:val="00541E63"/>
    <w:rsid w:val="0054544B"/>
    <w:rsid w:val="00562A35"/>
    <w:rsid w:val="005670B8"/>
    <w:rsid w:val="005725FA"/>
    <w:rsid w:val="00573E68"/>
    <w:rsid w:val="00592F0B"/>
    <w:rsid w:val="00596FF9"/>
    <w:rsid w:val="005A0657"/>
    <w:rsid w:val="005C3800"/>
    <w:rsid w:val="005D20DD"/>
    <w:rsid w:val="005D4D9F"/>
    <w:rsid w:val="005F1628"/>
    <w:rsid w:val="0060514B"/>
    <w:rsid w:val="0061670A"/>
    <w:rsid w:val="00627C6B"/>
    <w:rsid w:val="00633CCD"/>
    <w:rsid w:val="00636F98"/>
    <w:rsid w:val="00685BE4"/>
    <w:rsid w:val="006B3477"/>
    <w:rsid w:val="006B6507"/>
    <w:rsid w:val="006C5503"/>
    <w:rsid w:val="006D0F96"/>
    <w:rsid w:val="006D68E0"/>
    <w:rsid w:val="007259FE"/>
    <w:rsid w:val="007359EE"/>
    <w:rsid w:val="00752541"/>
    <w:rsid w:val="00763690"/>
    <w:rsid w:val="00773B54"/>
    <w:rsid w:val="00776F4B"/>
    <w:rsid w:val="0079655E"/>
    <w:rsid w:val="007969F6"/>
    <w:rsid w:val="007B06BD"/>
    <w:rsid w:val="007B0CF3"/>
    <w:rsid w:val="007C078D"/>
    <w:rsid w:val="007E60C0"/>
    <w:rsid w:val="007F161E"/>
    <w:rsid w:val="008138CD"/>
    <w:rsid w:val="00823457"/>
    <w:rsid w:val="00831FEF"/>
    <w:rsid w:val="008602E1"/>
    <w:rsid w:val="00861E53"/>
    <w:rsid w:val="00871F93"/>
    <w:rsid w:val="00887092"/>
    <w:rsid w:val="00892CB8"/>
    <w:rsid w:val="008A7F0D"/>
    <w:rsid w:val="008C3758"/>
    <w:rsid w:val="008D58A4"/>
    <w:rsid w:val="008F22C8"/>
    <w:rsid w:val="008F668A"/>
    <w:rsid w:val="00905B57"/>
    <w:rsid w:val="00916422"/>
    <w:rsid w:val="00932F2C"/>
    <w:rsid w:val="00951BDC"/>
    <w:rsid w:val="0098464C"/>
    <w:rsid w:val="009A31B9"/>
    <w:rsid w:val="009E786C"/>
    <w:rsid w:val="00A07E1A"/>
    <w:rsid w:val="00A11B17"/>
    <w:rsid w:val="00A11F70"/>
    <w:rsid w:val="00A25DDB"/>
    <w:rsid w:val="00A3766F"/>
    <w:rsid w:val="00A41B27"/>
    <w:rsid w:val="00A443C0"/>
    <w:rsid w:val="00A52D92"/>
    <w:rsid w:val="00A52F35"/>
    <w:rsid w:val="00A63DA8"/>
    <w:rsid w:val="00A65A34"/>
    <w:rsid w:val="00A66213"/>
    <w:rsid w:val="00AD6B8F"/>
    <w:rsid w:val="00AE7147"/>
    <w:rsid w:val="00AF002B"/>
    <w:rsid w:val="00AF0975"/>
    <w:rsid w:val="00B17AAF"/>
    <w:rsid w:val="00B3052C"/>
    <w:rsid w:val="00B355CB"/>
    <w:rsid w:val="00B65853"/>
    <w:rsid w:val="00B7006F"/>
    <w:rsid w:val="00B81678"/>
    <w:rsid w:val="00BB4ABC"/>
    <w:rsid w:val="00BC0835"/>
    <w:rsid w:val="00BC0F3E"/>
    <w:rsid w:val="00BE35E7"/>
    <w:rsid w:val="00BE425E"/>
    <w:rsid w:val="00BF5C94"/>
    <w:rsid w:val="00C309A1"/>
    <w:rsid w:val="00C356F8"/>
    <w:rsid w:val="00C50CDC"/>
    <w:rsid w:val="00C57358"/>
    <w:rsid w:val="00C71331"/>
    <w:rsid w:val="00C719F6"/>
    <w:rsid w:val="00C80E52"/>
    <w:rsid w:val="00C84D17"/>
    <w:rsid w:val="00CA5636"/>
    <w:rsid w:val="00CA7A2F"/>
    <w:rsid w:val="00CC4ED3"/>
    <w:rsid w:val="00CD072C"/>
    <w:rsid w:val="00CD0F8A"/>
    <w:rsid w:val="00CD4FB6"/>
    <w:rsid w:val="00D023EA"/>
    <w:rsid w:val="00D52C92"/>
    <w:rsid w:val="00D67C29"/>
    <w:rsid w:val="00D959C7"/>
    <w:rsid w:val="00DC02E1"/>
    <w:rsid w:val="00DC3080"/>
    <w:rsid w:val="00DC7FAB"/>
    <w:rsid w:val="00E078AF"/>
    <w:rsid w:val="00E20396"/>
    <w:rsid w:val="00E33651"/>
    <w:rsid w:val="00E87EC1"/>
    <w:rsid w:val="00E96B77"/>
    <w:rsid w:val="00EA0BDB"/>
    <w:rsid w:val="00EB26AA"/>
    <w:rsid w:val="00ED08FC"/>
    <w:rsid w:val="00ED2E8D"/>
    <w:rsid w:val="00F13A7D"/>
    <w:rsid w:val="00F274C7"/>
    <w:rsid w:val="00F5101A"/>
    <w:rsid w:val="00F62034"/>
    <w:rsid w:val="00FA73A3"/>
    <w:rsid w:val="00FC7551"/>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C07E"/>
  <w15:chartTrackingRefBased/>
  <w15:docId w15:val="{AEAC51ED-5440-48BB-9BB8-4C3A58EA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1212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F93"/>
  </w:style>
  <w:style w:type="paragraph" w:styleId="Heading1">
    <w:name w:val="heading 1"/>
    <w:basedOn w:val="Normal"/>
    <w:next w:val="Normal"/>
    <w:link w:val="Heading1Char"/>
    <w:uiPriority w:val="9"/>
    <w:qFormat/>
    <w:rsid w:val="00C57358"/>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7358"/>
    <w:pPr>
      <w:keepNext/>
      <w:keepLines/>
      <w:spacing w:before="120" w:after="120"/>
      <w:jc w:val="center"/>
      <w:outlineLvl w:val="1"/>
    </w:pPr>
    <w:rPr>
      <w:rFonts w:ascii="Times New Roman Bold" w:eastAsiaTheme="majorEastAsia" w:hAnsi="Times New Roman Bold" w:cstheme="majorBidi"/>
      <w:b/>
      <w:color w:val="auto"/>
      <w:szCs w:val="26"/>
      <w:u w:val="single"/>
    </w:rPr>
  </w:style>
  <w:style w:type="paragraph" w:styleId="Heading3">
    <w:name w:val="heading 3"/>
    <w:basedOn w:val="Normal"/>
    <w:next w:val="Normal"/>
    <w:link w:val="Heading3Char"/>
    <w:uiPriority w:val="9"/>
    <w:unhideWhenUsed/>
    <w:qFormat/>
    <w:rsid w:val="00C57358"/>
    <w:pPr>
      <w:keepNext/>
      <w:keepLines/>
      <w:spacing w:before="40" w:after="120"/>
      <w:jc w:val="center"/>
      <w:outlineLvl w:val="2"/>
    </w:pPr>
    <w:rPr>
      <w:rFonts w:eastAsiaTheme="majorEastAsia" w:cstheme="majorBid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qFormat/>
    <w:rsid w:val="00AE7147"/>
    <w:pPr>
      <w:spacing w:line="276" w:lineRule="auto"/>
      <w:ind w:left="720" w:hanging="720"/>
    </w:pPr>
    <w:rPr>
      <w:szCs w:val="20"/>
    </w:rPr>
  </w:style>
  <w:style w:type="character" w:customStyle="1" w:styleId="EndnoteTextChar">
    <w:name w:val="Endnote Text Char"/>
    <w:basedOn w:val="DefaultParagraphFont"/>
    <w:link w:val="EndnoteText"/>
    <w:rsid w:val="00AE7147"/>
    <w:rPr>
      <w:szCs w:val="20"/>
    </w:rPr>
  </w:style>
  <w:style w:type="character" w:styleId="EndnoteReference">
    <w:name w:val="endnote reference"/>
    <w:basedOn w:val="DefaultParagraphFont"/>
    <w:uiPriority w:val="99"/>
    <w:unhideWhenUsed/>
    <w:rsid w:val="00AE7147"/>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871F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1F93"/>
    <w:rPr>
      <w:rFonts w:ascii="Times New Roman" w:eastAsia="Arial" w:hAnsi="Times New Roman"/>
      <w:i/>
      <w:iCs/>
      <w:color w:val="404040" w:themeColor="text1" w:themeTint="BF"/>
      <w:sz w:val="24"/>
      <w:szCs w:val="24"/>
    </w:rPr>
  </w:style>
  <w:style w:type="paragraph" w:customStyle="1" w:styleId="LegalQuote">
    <w:name w:val="Legal Quote"/>
    <w:basedOn w:val="Normal"/>
    <w:qFormat/>
    <w:rsid w:val="00056659"/>
    <w:pPr>
      <w:spacing w:before="240" w:after="240"/>
      <w:ind w:left="720" w:right="720"/>
    </w:pPr>
  </w:style>
  <w:style w:type="paragraph" w:customStyle="1" w:styleId="Legalquote0">
    <w:name w:val="Legal quote"/>
    <w:basedOn w:val="Legalquote1"/>
    <w:qFormat/>
    <w:rsid w:val="00871F93"/>
    <w:pPr>
      <w:spacing w:after="240"/>
      <w:ind w:left="720" w:right="720"/>
    </w:pPr>
  </w:style>
  <w:style w:type="character" w:customStyle="1" w:styleId="Heading1Char">
    <w:name w:val="Heading 1 Char"/>
    <w:basedOn w:val="DefaultParagraphFont"/>
    <w:link w:val="Heading1"/>
    <w:uiPriority w:val="9"/>
    <w:rsid w:val="00C573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7358"/>
    <w:rPr>
      <w:rFonts w:ascii="Times New Roman Bold" w:eastAsiaTheme="majorEastAsia" w:hAnsi="Times New Roman Bold" w:cstheme="majorBidi"/>
      <w:b/>
      <w:color w:val="auto"/>
      <w:szCs w:val="26"/>
      <w:u w:val="single"/>
    </w:rPr>
  </w:style>
  <w:style w:type="character" w:styleId="FootnoteReference">
    <w:name w:val="footnote reference"/>
    <w:basedOn w:val="DefaultParagraphFont"/>
    <w:uiPriority w:val="99"/>
    <w:semiHidden/>
    <w:unhideWhenUsed/>
    <w:rsid w:val="00871F93"/>
    <w:rPr>
      <w:vertAlign w:val="superscript"/>
    </w:rPr>
  </w:style>
  <w:style w:type="paragraph" w:styleId="FootnoteText">
    <w:name w:val="footnote text"/>
    <w:basedOn w:val="Normal"/>
    <w:link w:val="FootnoteTextChar"/>
    <w:uiPriority w:val="99"/>
    <w:semiHidden/>
    <w:unhideWhenUsed/>
    <w:rsid w:val="00871F93"/>
    <w:rPr>
      <w:sz w:val="20"/>
      <w:szCs w:val="20"/>
    </w:rPr>
  </w:style>
  <w:style w:type="character" w:customStyle="1" w:styleId="FootnoteTextChar">
    <w:name w:val="Footnote Text Char"/>
    <w:basedOn w:val="DefaultParagraphFont"/>
    <w:link w:val="FootnoteText"/>
    <w:uiPriority w:val="99"/>
    <w:semiHidden/>
    <w:rsid w:val="00871F93"/>
    <w:rPr>
      <w:rFonts w:ascii="Times New Roman" w:eastAsia="Arial" w:hAnsi="Times New Roman"/>
      <w:color w:val="212121"/>
      <w:sz w:val="20"/>
      <w:szCs w:val="20"/>
    </w:rPr>
  </w:style>
  <w:style w:type="character" w:customStyle="1" w:styleId="apple-converted-space">
    <w:name w:val="apple-converted-space"/>
    <w:basedOn w:val="DefaultParagraphFont"/>
    <w:rsid w:val="00871F93"/>
  </w:style>
  <w:style w:type="character" w:customStyle="1" w:styleId="costarpage">
    <w:name w:val="co_starpage"/>
    <w:basedOn w:val="DefaultParagraphFont"/>
    <w:rsid w:val="00871F93"/>
  </w:style>
  <w:style w:type="character" w:customStyle="1" w:styleId="cosearchterm">
    <w:name w:val="co_searchterm"/>
    <w:basedOn w:val="DefaultParagraphFont"/>
    <w:rsid w:val="00871F93"/>
  </w:style>
  <w:style w:type="paragraph" w:customStyle="1" w:styleId="Legalquote1">
    <w:name w:val="Legal quote'"/>
    <w:basedOn w:val="Normal"/>
    <w:qFormat/>
    <w:rsid w:val="00871F93"/>
    <w:rPr>
      <w:color w:val="auto"/>
    </w:rPr>
  </w:style>
  <w:style w:type="character" w:customStyle="1" w:styleId="UnresolvedMention1">
    <w:name w:val="Unresolved Mention1"/>
    <w:basedOn w:val="DefaultParagraphFont"/>
    <w:uiPriority w:val="99"/>
    <w:semiHidden/>
    <w:unhideWhenUsed/>
    <w:rsid w:val="00871F93"/>
    <w:rPr>
      <w:color w:val="605E5C"/>
      <w:shd w:val="clear" w:color="auto" w:fill="E1DFDD"/>
    </w:rPr>
  </w:style>
  <w:style w:type="paragraph" w:styleId="CommentText">
    <w:name w:val="annotation text"/>
    <w:basedOn w:val="Normal"/>
    <w:link w:val="CommentTextChar"/>
    <w:uiPriority w:val="99"/>
    <w:semiHidden/>
    <w:unhideWhenUsed/>
    <w:rsid w:val="00871F93"/>
    <w:rPr>
      <w:sz w:val="20"/>
      <w:szCs w:val="20"/>
    </w:rPr>
  </w:style>
  <w:style w:type="character" w:customStyle="1" w:styleId="CommentTextChar">
    <w:name w:val="Comment Text Char"/>
    <w:basedOn w:val="DefaultParagraphFont"/>
    <w:link w:val="CommentText"/>
    <w:uiPriority w:val="99"/>
    <w:semiHidden/>
    <w:rsid w:val="00871F93"/>
    <w:rPr>
      <w:rFonts w:ascii="Times New Roman" w:eastAsia="Arial" w:hAnsi="Times New Roman" w:cs="Times New Roman"/>
      <w:color w:val="212121"/>
      <w:sz w:val="20"/>
      <w:szCs w:val="20"/>
    </w:rPr>
  </w:style>
  <w:style w:type="paragraph" w:styleId="Header">
    <w:name w:val="header"/>
    <w:basedOn w:val="Normal"/>
    <w:link w:val="HeaderChar"/>
    <w:uiPriority w:val="99"/>
    <w:unhideWhenUsed/>
    <w:rsid w:val="00871F93"/>
    <w:pPr>
      <w:tabs>
        <w:tab w:val="center" w:pos="4680"/>
        <w:tab w:val="right" w:pos="9360"/>
      </w:tabs>
    </w:pPr>
  </w:style>
  <w:style w:type="character" w:customStyle="1" w:styleId="HeaderChar">
    <w:name w:val="Header Char"/>
    <w:basedOn w:val="DefaultParagraphFont"/>
    <w:link w:val="Header"/>
    <w:uiPriority w:val="99"/>
    <w:rsid w:val="00871F93"/>
    <w:rPr>
      <w:rFonts w:ascii="Times New Roman" w:eastAsia="Arial" w:hAnsi="Times New Roman" w:cs="Times New Roman"/>
      <w:color w:val="212121"/>
      <w:sz w:val="24"/>
      <w:szCs w:val="24"/>
    </w:rPr>
  </w:style>
  <w:style w:type="paragraph" w:styleId="Footer">
    <w:name w:val="footer"/>
    <w:basedOn w:val="Normal"/>
    <w:link w:val="FooterChar"/>
    <w:uiPriority w:val="99"/>
    <w:unhideWhenUsed/>
    <w:rsid w:val="00871F93"/>
    <w:pPr>
      <w:tabs>
        <w:tab w:val="center" w:pos="4680"/>
        <w:tab w:val="right" w:pos="9360"/>
      </w:tabs>
    </w:pPr>
  </w:style>
  <w:style w:type="character" w:customStyle="1" w:styleId="FooterChar">
    <w:name w:val="Footer Char"/>
    <w:basedOn w:val="DefaultParagraphFont"/>
    <w:link w:val="Footer"/>
    <w:uiPriority w:val="99"/>
    <w:rsid w:val="00871F93"/>
    <w:rPr>
      <w:rFonts w:ascii="Times New Roman" w:eastAsia="Arial" w:hAnsi="Times New Roman" w:cs="Times New Roman"/>
      <w:color w:val="212121"/>
      <w:sz w:val="24"/>
      <w:szCs w:val="24"/>
    </w:rPr>
  </w:style>
  <w:style w:type="character" w:styleId="CommentReference">
    <w:name w:val="annotation reference"/>
    <w:basedOn w:val="DefaultParagraphFont"/>
    <w:uiPriority w:val="99"/>
    <w:semiHidden/>
    <w:unhideWhenUsed/>
    <w:rsid w:val="00871F93"/>
    <w:rPr>
      <w:sz w:val="16"/>
      <w:szCs w:val="16"/>
    </w:rPr>
  </w:style>
  <w:style w:type="character" w:styleId="Hyperlink">
    <w:name w:val="Hyperlink"/>
    <w:basedOn w:val="DefaultParagraphFont"/>
    <w:uiPriority w:val="99"/>
    <w:unhideWhenUsed/>
    <w:rsid w:val="00871F93"/>
    <w:rPr>
      <w:color w:val="0000FF"/>
      <w:u w:val="single"/>
    </w:rPr>
  </w:style>
  <w:style w:type="character" w:styleId="FollowedHyperlink">
    <w:name w:val="FollowedHyperlink"/>
    <w:basedOn w:val="DefaultParagraphFont"/>
    <w:uiPriority w:val="99"/>
    <w:semiHidden/>
    <w:unhideWhenUsed/>
    <w:rsid w:val="00871F93"/>
    <w:rPr>
      <w:color w:val="954F72" w:themeColor="followedHyperlink"/>
      <w:u w:val="single"/>
    </w:rPr>
  </w:style>
  <w:style w:type="character" w:styleId="Emphasis">
    <w:name w:val="Emphasis"/>
    <w:basedOn w:val="DefaultParagraphFont"/>
    <w:uiPriority w:val="20"/>
    <w:qFormat/>
    <w:rsid w:val="00871F93"/>
    <w:rPr>
      <w:i/>
      <w:iCs/>
    </w:rPr>
  </w:style>
  <w:style w:type="paragraph" w:styleId="NormalWeb">
    <w:name w:val="Normal (Web)"/>
    <w:basedOn w:val="Normal"/>
    <w:uiPriority w:val="99"/>
    <w:semiHidden/>
    <w:unhideWhenUsed/>
    <w:rsid w:val="00871F93"/>
  </w:style>
  <w:style w:type="paragraph" w:styleId="CommentSubject">
    <w:name w:val="annotation subject"/>
    <w:basedOn w:val="CommentText"/>
    <w:next w:val="CommentText"/>
    <w:link w:val="CommentSubjectChar"/>
    <w:uiPriority w:val="99"/>
    <w:semiHidden/>
    <w:unhideWhenUsed/>
    <w:rsid w:val="00871F93"/>
    <w:rPr>
      <w:b/>
      <w:bCs/>
    </w:rPr>
  </w:style>
  <w:style w:type="character" w:customStyle="1" w:styleId="CommentSubjectChar">
    <w:name w:val="Comment Subject Char"/>
    <w:basedOn w:val="CommentTextChar"/>
    <w:link w:val="CommentSubject"/>
    <w:uiPriority w:val="99"/>
    <w:semiHidden/>
    <w:rsid w:val="00871F93"/>
    <w:rPr>
      <w:rFonts w:ascii="Times New Roman" w:eastAsia="Arial" w:hAnsi="Times New Roman" w:cs="Times New Roman"/>
      <w:b/>
      <w:bCs/>
      <w:color w:val="212121"/>
      <w:sz w:val="20"/>
      <w:szCs w:val="20"/>
    </w:rPr>
  </w:style>
  <w:style w:type="paragraph" w:styleId="BalloonText">
    <w:name w:val="Balloon Text"/>
    <w:basedOn w:val="Normal"/>
    <w:link w:val="BalloonTextChar"/>
    <w:uiPriority w:val="99"/>
    <w:semiHidden/>
    <w:unhideWhenUsed/>
    <w:rsid w:val="00871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93"/>
    <w:rPr>
      <w:rFonts w:ascii="Segoe UI" w:eastAsia="Arial" w:hAnsi="Segoe UI" w:cs="Segoe UI"/>
      <w:color w:val="212121"/>
      <w:sz w:val="18"/>
      <w:szCs w:val="18"/>
    </w:rPr>
  </w:style>
  <w:style w:type="table" w:styleId="TableGrid">
    <w:name w:val="Table Grid"/>
    <w:basedOn w:val="TableNormal"/>
    <w:uiPriority w:val="59"/>
    <w:rsid w:val="00871F93"/>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F93"/>
    <w:pPr>
      <w:ind w:left="720"/>
      <w:contextualSpacing/>
    </w:pPr>
  </w:style>
  <w:style w:type="character" w:customStyle="1" w:styleId="Heading3Char">
    <w:name w:val="Heading 3 Char"/>
    <w:basedOn w:val="DefaultParagraphFont"/>
    <w:link w:val="Heading3"/>
    <w:uiPriority w:val="9"/>
    <w:rsid w:val="00C57358"/>
    <w:rPr>
      <w:rFonts w:eastAsiaTheme="majorEastAsia" w:cstheme="majorBidi"/>
      <w:color w:val="auto"/>
    </w:rPr>
  </w:style>
  <w:style w:type="character" w:styleId="UnresolvedMention">
    <w:name w:val="Unresolved Mention"/>
    <w:basedOn w:val="DefaultParagraphFont"/>
    <w:uiPriority w:val="99"/>
    <w:semiHidden/>
    <w:unhideWhenUsed/>
    <w:rsid w:val="00C7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3978</TotalTime>
  <Pages>21</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7</cp:revision>
  <dcterms:created xsi:type="dcterms:W3CDTF">2023-08-26T00:01:00Z</dcterms:created>
  <dcterms:modified xsi:type="dcterms:W3CDTF">2023-08-28T18:38:00Z</dcterms:modified>
</cp:coreProperties>
</file>