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F31A" w14:textId="54F9A428" w:rsidR="00F53F9A" w:rsidRDefault="00526532"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CURRETN JQC</w:t>
      </w:r>
      <w:r w:rsidR="00827E5D" w:rsidRPr="00DD2C4A">
        <w:rPr>
          <w:rFonts w:ascii="Times New Roman" w:hAnsi="Times New Roman" w:cs="Times New Roman"/>
          <w:b/>
          <w:bCs/>
          <w:sz w:val="28"/>
          <w:szCs w:val="28"/>
        </w:rPr>
        <w:t xml:space="preserve"> Podcast Outline</w:t>
      </w:r>
    </w:p>
    <w:p w14:paraId="20C2B70C" w14:textId="5DE90FC0" w:rsidR="00526532" w:rsidRPr="00DD2C4A" w:rsidRDefault="00526532"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Guest: Judge Rickman</w:t>
      </w:r>
    </w:p>
    <w:p w14:paraId="030C24CE" w14:textId="0B00C833"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Wade:  Hello folks and welcome to another episode of the Good Judge-ment Podcast.  I’m your host, Wade Padgett.</w:t>
      </w:r>
    </w:p>
    <w:p w14:paraId="6915F1E2" w14:textId="3D825FBD" w:rsidR="00827E5D" w:rsidRPr="00DD2C4A" w:rsidRDefault="00827E5D" w:rsidP="00DD2C4A">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For better or worse</w:t>
      </w:r>
      <w:r w:rsidR="00DD2C4A">
        <w:rPr>
          <w:rFonts w:ascii="Times New Roman" w:hAnsi="Times New Roman" w:cs="Times New Roman"/>
          <w:sz w:val="28"/>
          <w:szCs w:val="28"/>
        </w:rPr>
        <w:t>, I continue</w:t>
      </w:r>
      <w:r w:rsidRPr="00DD2C4A">
        <w:rPr>
          <w:rFonts w:ascii="Times New Roman" w:hAnsi="Times New Roman" w:cs="Times New Roman"/>
          <w:sz w:val="28"/>
          <w:szCs w:val="28"/>
        </w:rPr>
        <w:t xml:space="preserve"> to be Tain Kel</w:t>
      </w:r>
      <w:r w:rsidR="00526532">
        <w:rPr>
          <w:rFonts w:ascii="Times New Roman" w:hAnsi="Times New Roman" w:cs="Times New Roman"/>
          <w:sz w:val="28"/>
          <w:szCs w:val="28"/>
        </w:rPr>
        <w:t>l</w:t>
      </w:r>
      <w:r w:rsidRPr="00DD2C4A">
        <w:rPr>
          <w:rFonts w:ascii="Times New Roman" w:hAnsi="Times New Roman" w:cs="Times New Roman"/>
          <w:sz w:val="28"/>
          <w:szCs w:val="28"/>
        </w:rPr>
        <w:t xml:space="preserve">.  </w:t>
      </w:r>
    </w:p>
    <w:p w14:paraId="7A615F1C" w14:textId="73285BEA"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 xml:space="preserve">Wade: </w:t>
      </w:r>
      <w:r w:rsidR="00DD2C4A">
        <w:rPr>
          <w:rFonts w:ascii="Times New Roman" w:hAnsi="Times New Roman" w:cs="Times New Roman"/>
          <w:b/>
          <w:bCs/>
          <w:sz w:val="28"/>
          <w:szCs w:val="28"/>
        </w:rPr>
        <w:t xml:space="preserve">Tain, </w:t>
      </w:r>
      <w:r w:rsidR="00526532">
        <w:rPr>
          <w:rFonts w:ascii="Times New Roman" w:hAnsi="Times New Roman" w:cs="Times New Roman"/>
          <w:b/>
          <w:bCs/>
          <w:sz w:val="28"/>
          <w:szCs w:val="28"/>
        </w:rPr>
        <w:t>we get the opportunity to meet and talk with some really awesome people here on the podcast.</w:t>
      </w:r>
    </w:p>
    <w:p w14:paraId="2CBDECA6" w14:textId="68F56671" w:rsidR="00827E5D" w:rsidRPr="00DD2C4A" w:rsidRDefault="00827E5D" w:rsidP="00DD2C4A">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Very t</w:t>
      </w:r>
      <w:r w:rsidR="00DD2C4A">
        <w:rPr>
          <w:rFonts w:ascii="Times New Roman" w:hAnsi="Times New Roman" w:cs="Times New Roman"/>
          <w:sz w:val="28"/>
          <w:szCs w:val="28"/>
        </w:rPr>
        <w:t xml:space="preserve">rue. </w:t>
      </w:r>
      <w:r w:rsidR="00526532">
        <w:rPr>
          <w:rFonts w:ascii="Times New Roman" w:hAnsi="Times New Roman" w:cs="Times New Roman"/>
          <w:sz w:val="28"/>
          <w:szCs w:val="28"/>
        </w:rPr>
        <w:t>And today, we are adding to our list of FOP’s by talking with one of Wade’s colleagues on the Court of Appeals, Judge Brian Rickman.</w:t>
      </w:r>
    </w:p>
    <w:p w14:paraId="7BCFE2D9" w14:textId="35A0EA36"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 xml:space="preserve">Wade:  </w:t>
      </w:r>
      <w:r w:rsidR="00526532">
        <w:rPr>
          <w:rFonts w:ascii="Times New Roman" w:hAnsi="Times New Roman" w:cs="Times New Roman"/>
          <w:b/>
          <w:bCs/>
          <w:sz w:val="28"/>
          <w:szCs w:val="28"/>
        </w:rPr>
        <w:t>Judge Rickman is a man who wears many hats and today we are going to talk with him about just one of the things he is involved with – his work with the Judicial Qualifications Commission (“JQC”).</w:t>
      </w:r>
    </w:p>
    <w:p w14:paraId="7DED9772" w14:textId="77777777" w:rsidR="00526532" w:rsidRDefault="00827E5D" w:rsidP="00526532">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Judge Rickman – why don’t you introduce yourself to the audience and tell them about your career path.</w:t>
      </w:r>
    </w:p>
    <w:p w14:paraId="5C39BA86" w14:textId="4CD796E1" w:rsidR="00526532" w:rsidRDefault="00526532" w:rsidP="00526532">
      <w:pPr>
        <w:spacing w:line="480" w:lineRule="auto"/>
        <w:jc w:val="both"/>
        <w:rPr>
          <w:rFonts w:ascii="Times New Roman" w:hAnsi="Times New Roman" w:cs="Times New Roman"/>
          <w:sz w:val="28"/>
          <w:szCs w:val="28"/>
        </w:rPr>
      </w:pPr>
      <w:r>
        <w:rPr>
          <w:rFonts w:ascii="Times New Roman" w:hAnsi="Times New Roman" w:cs="Times New Roman"/>
          <w:b/>
          <w:bCs/>
          <w:sz w:val="28"/>
          <w:szCs w:val="28"/>
        </w:rPr>
        <w:pict w14:anchorId="1F31996C">
          <v:rect id="_x0000_i1025" style="width:0;height:1.5pt" o:hralign="center" o:hrstd="t" o:hr="t" fillcolor="#a0a0a0" stroked="f"/>
        </w:pict>
      </w:r>
    </w:p>
    <w:p w14:paraId="7F9D056B" w14:textId="7AFE0408" w:rsidR="006A2D9A" w:rsidRDefault="00526532" w:rsidP="00526532">
      <w:pPr>
        <w:spacing w:line="480" w:lineRule="auto"/>
        <w:jc w:val="both"/>
        <w:rPr>
          <w:rFonts w:ascii="Times New Roman" w:hAnsi="Times New Roman" w:cs="Times New Roman"/>
          <w:sz w:val="28"/>
          <w:szCs w:val="28"/>
        </w:rPr>
      </w:pPr>
      <w:r w:rsidRPr="00526532">
        <w:rPr>
          <w:rFonts w:ascii="Times New Roman" w:hAnsi="Times New Roman" w:cs="Times New Roman"/>
          <w:sz w:val="28"/>
          <w:szCs w:val="28"/>
        </w:rPr>
        <w:t>Today, we are going to focus on Judge Rickman’s service on the JQC</w:t>
      </w:r>
    </w:p>
    <w:p w14:paraId="74B1B437" w14:textId="34CFEE65" w:rsidR="00335726" w:rsidRDefault="00335726" w:rsidP="00335726">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Much of the content of today’s episode has been shameless plucked from the JQC’s website: gajqc.gov</w:t>
      </w:r>
    </w:p>
    <w:p w14:paraId="2489A129" w14:textId="503EA5A9" w:rsidR="00335726" w:rsidRDefault="00335726" w:rsidP="00335726">
      <w:pPr>
        <w:spacing w:line="480" w:lineRule="auto"/>
        <w:jc w:val="both"/>
        <w:rPr>
          <w:rFonts w:ascii="Times New Roman" w:hAnsi="Times New Roman" w:cs="Times New Roman"/>
          <w:sz w:val="28"/>
          <w:szCs w:val="28"/>
        </w:rPr>
      </w:pPr>
      <w:r>
        <w:rPr>
          <w:rFonts w:ascii="Times New Roman" w:hAnsi="Times New Roman" w:cs="Times New Roman"/>
          <w:sz w:val="28"/>
          <w:szCs w:val="28"/>
        </w:rPr>
        <w:t>That should be enough attribution!</w:t>
      </w:r>
    </w:p>
    <w:p w14:paraId="7D97617E" w14:textId="2BBBB467" w:rsidR="00335726" w:rsidRDefault="00335726" w:rsidP="00335726">
      <w:pPr>
        <w:spacing w:line="480" w:lineRule="auto"/>
        <w:jc w:val="both"/>
        <w:rPr>
          <w:rFonts w:ascii="Times New Roman" w:hAnsi="Times New Roman" w:cs="Times New Roman"/>
          <w:sz w:val="28"/>
          <w:szCs w:val="28"/>
        </w:rPr>
      </w:pPr>
      <w:r>
        <w:rPr>
          <w:rFonts w:ascii="Times New Roman" w:hAnsi="Times New Roman" w:cs="Times New Roman"/>
          <w:b/>
          <w:bCs/>
          <w:sz w:val="28"/>
          <w:szCs w:val="28"/>
        </w:rPr>
        <w:pict w14:anchorId="14EEE45E">
          <v:rect id="_x0000_i1026" style="width:0;height:1.5pt" o:hralign="center" o:hrstd="t" o:hr="t" fillcolor="#a0a0a0" stroked="f"/>
        </w:pict>
      </w:r>
    </w:p>
    <w:p w14:paraId="3AED1682" w14:textId="1658112F" w:rsidR="00526532" w:rsidRPr="00526532" w:rsidRDefault="00526532" w:rsidP="00526532">
      <w:pPr>
        <w:spacing w:line="480" w:lineRule="auto"/>
        <w:jc w:val="both"/>
        <w:rPr>
          <w:rFonts w:ascii="Times New Roman" w:hAnsi="Times New Roman" w:cs="Times New Roman"/>
          <w:sz w:val="28"/>
          <w:szCs w:val="28"/>
        </w:rPr>
      </w:pPr>
      <w:r>
        <w:rPr>
          <w:rFonts w:ascii="Times New Roman" w:hAnsi="Times New Roman" w:cs="Times New Roman"/>
          <w:sz w:val="28"/>
          <w:szCs w:val="28"/>
        </w:rPr>
        <w:t>Let’s talk about the JQC in general and then get into Judge Rickman’s service</w:t>
      </w:r>
      <w:r w:rsidR="00335726">
        <w:rPr>
          <w:rFonts w:ascii="Times New Roman" w:hAnsi="Times New Roman" w:cs="Times New Roman"/>
          <w:sz w:val="28"/>
          <w:szCs w:val="28"/>
        </w:rPr>
        <w:t xml:space="preserve"> and observations</w:t>
      </w:r>
    </w:p>
    <w:p w14:paraId="2B927D04" w14:textId="76EA3D37" w:rsidR="00526532" w:rsidRDefault="00526532" w:rsidP="00335726">
      <w:pPr>
        <w:ind w:firstLine="720"/>
        <w:rPr>
          <w:rFonts w:ascii="Times New Roman" w:hAnsi="Times New Roman" w:cs="Times New Roman"/>
          <w:sz w:val="28"/>
          <w:szCs w:val="28"/>
        </w:rPr>
      </w:pPr>
      <w:r>
        <w:rPr>
          <w:rFonts w:ascii="Times New Roman" w:hAnsi="Times New Roman" w:cs="Times New Roman"/>
          <w:sz w:val="28"/>
          <w:szCs w:val="28"/>
        </w:rPr>
        <w:t>Constitutional Amendment in 1972 and then again in 2016</w:t>
      </w:r>
    </w:p>
    <w:p w14:paraId="08A3BE07" w14:textId="187123EA" w:rsidR="00526532" w:rsidRDefault="00526532" w:rsidP="00335726">
      <w:pPr>
        <w:rPr>
          <w:rFonts w:ascii="Times New Roman" w:hAnsi="Times New Roman" w:cs="Times New Roman"/>
          <w:sz w:val="28"/>
          <w:szCs w:val="28"/>
        </w:rPr>
      </w:pPr>
      <w:r>
        <w:rPr>
          <w:rFonts w:ascii="Times New Roman" w:hAnsi="Times New Roman" w:cs="Times New Roman"/>
          <w:sz w:val="28"/>
          <w:szCs w:val="28"/>
        </w:rPr>
        <w:t>Designed to investigate and act upon complaints of misconduct by Georgia judges</w:t>
      </w:r>
    </w:p>
    <w:p w14:paraId="6A4532CC" w14:textId="3AFA3684" w:rsidR="00526532" w:rsidRDefault="00526532" w:rsidP="00335726">
      <w:pPr>
        <w:ind w:firstLine="720"/>
        <w:rPr>
          <w:rFonts w:ascii="Times New Roman" w:hAnsi="Times New Roman" w:cs="Times New Roman"/>
          <w:sz w:val="28"/>
          <w:szCs w:val="28"/>
        </w:rPr>
      </w:pPr>
      <w:r>
        <w:rPr>
          <w:rFonts w:ascii="Times New Roman" w:hAnsi="Times New Roman" w:cs="Times New Roman"/>
          <w:sz w:val="28"/>
          <w:szCs w:val="28"/>
        </w:rPr>
        <w:t>Applies to judges of all classes of court (not federal)</w:t>
      </w:r>
    </w:p>
    <w:p w14:paraId="155A3A8F" w14:textId="7A87411D"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6C364F25">
          <v:rect id="_x0000_i1027" style="width:0;height:1.5pt" o:hralign="center" o:hrstd="t" o:hr="t" fillcolor="#a0a0a0" stroked="f"/>
        </w:pict>
      </w:r>
    </w:p>
    <w:p w14:paraId="7325643E" w14:textId="0866E411" w:rsidR="00810D9C" w:rsidRDefault="00810D9C" w:rsidP="00526532">
      <w:pPr>
        <w:rPr>
          <w:rFonts w:ascii="Times New Roman" w:hAnsi="Times New Roman" w:cs="Times New Roman"/>
          <w:sz w:val="28"/>
          <w:szCs w:val="28"/>
        </w:rPr>
      </w:pPr>
      <w:r>
        <w:rPr>
          <w:rFonts w:ascii="Times New Roman" w:hAnsi="Times New Roman" w:cs="Times New Roman"/>
          <w:sz w:val="28"/>
          <w:szCs w:val="28"/>
        </w:rPr>
        <w:t>Under the current version of the JQC, there is an investigatory panel, a hearing panel and then there are staff members for each – let’s break that down a bit</w:t>
      </w:r>
    </w:p>
    <w:p w14:paraId="5F06F540" w14:textId="19185423"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10 total members of the Commission</w:t>
      </w:r>
    </w:p>
    <w:p w14:paraId="715AFF31" w14:textId="2E989182"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7 on the investigative panel</w:t>
      </w:r>
    </w:p>
    <w:p w14:paraId="6A1FACB4" w14:textId="6B46CCBC"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Vicky Darrisaw (judge member – Dougherty)</w:t>
      </w:r>
    </w:p>
    <w:p w14:paraId="00F74D6E" w14:textId="64971B74"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Bob Barr (atty member)</w:t>
      </w:r>
    </w:p>
    <w:p w14:paraId="490005F9" w14:textId="058E6D3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Andrew Welch (atty member)</w:t>
      </w:r>
    </w:p>
    <w:p w14:paraId="0633EFED" w14:textId="32E51EF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Brian Rickman (judge member - COA)</w:t>
      </w:r>
    </w:p>
    <w:p w14:paraId="56010FD5" w14:textId="2F199CCE"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Warren Selby (citizen member)</w:t>
      </w:r>
    </w:p>
    <w:p w14:paraId="3D9D5E29" w14:textId="2C9743AC"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Stephen Green (citizen member)</w:t>
      </w:r>
    </w:p>
    <w:p w14:paraId="0371C99E" w14:textId="234169DF"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James Courseu, Jr. (atty member)</w:t>
      </w:r>
    </w:p>
    <w:p w14:paraId="2AE6F07A" w14:textId="01D225F1" w:rsidR="00810D9C" w:rsidRDefault="00810D9C" w:rsidP="00526532">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3 on the hearing panel</w:t>
      </w:r>
    </w:p>
    <w:p w14:paraId="279E9142" w14:textId="2E99F72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Alison Burleson (Presiding Officer – Ocmulgee)</w:t>
      </w:r>
    </w:p>
    <w:p w14:paraId="641D1453" w14:textId="699350B8"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Richard Hyde (Citizen Member)</w:t>
      </w:r>
    </w:p>
    <w:p w14:paraId="54D67ADA" w14:textId="7F07CB2A"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Dax Lopez (atty member)</w:t>
      </w:r>
    </w:p>
    <w:p w14:paraId="107333E5" w14:textId="5848C962"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71F4D2D2">
          <v:rect id="_x0000_i1028" style="width:0;height:1.5pt" o:hralign="center" o:hrstd="t" o:hr="t" fillcolor="#a0a0a0" stroked="f"/>
        </w:pict>
      </w:r>
    </w:p>
    <w:p w14:paraId="55D29A58" w14:textId="1FFC9B23"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What does Courtney Veal do – what is her title? (Director)</w:t>
      </w:r>
    </w:p>
    <w:p w14:paraId="14FD929D" w14:textId="2D6E7B3B"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She has a deputy, Ashton Murphy</w:t>
      </w:r>
    </w:p>
    <w:p w14:paraId="2C5EC882" w14:textId="088392C6"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Chief Investigator Jonathan McFarland</w:t>
      </w:r>
    </w:p>
    <w:p w14:paraId="03A42D1B" w14:textId="034CDDB4"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Administrator Stephanie McGruder</w:t>
      </w:r>
    </w:p>
    <w:p w14:paraId="52C51615" w14:textId="75D9E8CF"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37F96664">
          <v:rect id="_x0000_i1029" style="width:0;height:1.5pt" o:hralign="center" o:hrstd="t" o:hr="t" fillcolor="#a0a0a0" stroked="f"/>
        </w:pict>
      </w:r>
    </w:p>
    <w:p w14:paraId="5C32AA62" w14:textId="541C6CAD" w:rsidR="00810D9C" w:rsidRDefault="00810D9C" w:rsidP="00526532">
      <w:pPr>
        <w:rPr>
          <w:rFonts w:ascii="Times New Roman" w:hAnsi="Times New Roman" w:cs="Times New Roman"/>
          <w:sz w:val="28"/>
          <w:szCs w:val="28"/>
        </w:rPr>
      </w:pPr>
      <w:r>
        <w:rPr>
          <w:rFonts w:ascii="Times New Roman" w:hAnsi="Times New Roman" w:cs="Times New Roman"/>
          <w:sz w:val="28"/>
          <w:szCs w:val="28"/>
        </w:rPr>
        <w:t>Judge Rickman is unique in that for a hot minute, he served on the Hearing panel but then was moved to the investigatory panel</w:t>
      </w:r>
    </w:p>
    <w:p w14:paraId="037F16DC" w14:textId="1CD4CE0E"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(Not sure he participated on the hearing panel)</w:t>
      </w:r>
    </w:p>
    <w:p w14:paraId="17CD283F" w14:textId="1E406AE2"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047BD8FF">
          <v:rect id="_x0000_i1030" style="width:0;height:1.5pt" o:hralign="center" o:hrstd="t" o:hr="t" fillcolor="#a0a0a0" stroked="f"/>
        </w:pict>
      </w:r>
    </w:p>
    <w:p w14:paraId="097C975C" w14:textId="08BC79EE" w:rsidR="00526532" w:rsidRDefault="00526532" w:rsidP="00526532">
      <w:pPr>
        <w:rPr>
          <w:rFonts w:ascii="Times New Roman" w:hAnsi="Times New Roman" w:cs="Times New Roman"/>
          <w:sz w:val="28"/>
          <w:szCs w:val="28"/>
        </w:rPr>
      </w:pPr>
      <w:r>
        <w:rPr>
          <w:rFonts w:ascii="Times New Roman" w:hAnsi="Times New Roman" w:cs="Times New Roman"/>
          <w:sz w:val="28"/>
          <w:szCs w:val="28"/>
        </w:rPr>
        <w:t xml:space="preserve">There are four canons of judicial conduct (with multiple rules </w:t>
      </w:r>
      <w:r w:rsidR="00810D9C">
        <w:rPr>
          <w:rFonts w:ascii="Times New Roman" w:hAnsi="Times New Roman" w:cs="Times New Roman"/>
          <w:sz w:val="28"/>
          <w:szCs w:val="28"/>
        </w:rPr>
        <w:t>under each canon)</w:t>
      </w:r>
    </w:p>
    <w:p w14:paraId="39B277EE" w14:textId="5547C287"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UPHOLD THE INDEPENDENCE, INTEGRITY, AND IMPARTIALITY OF THE JUDICIARY AND SHALL AVOID IMPROPRIETY AND THE APPEARANCE OF IMPROPRIETY IN ALL OF THEIR ACTIVITIES</w:t>
      </w:r>
    </w:p>
    <w:p w14:paraId="6B315F27" w14:textId="17B21FB7"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PERFORM THE DUTIES OF JUDICIAL OFFICE IMPARTIALLY, COMPETENTLY, AND DILIGENTLY</w:t>
      </w:r>
    </w:p>
    <w:p w14:paraId="778D98BC" w14:textId="1B79478C"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REGULATE THEIR EXTRA-JUDICIAL ACTIVITIES TO MINIMIZE THE RISK OF CONFLICT WITH THEIR JUDICIAL DUTIES</w:t>
      </w:r>
    </w:p>
    <w:p w14:paraId="686FF4D4" w14:textId="77FDAF8E"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REFRAIN FROM POLITICAL ACTIVITY INAPPROPRIATE TO THEIR JUDICIAL OFFICE</w:t>
      </w:r>
    </w:p>
    <w:p w14:paraId="011DBF8C" w14:textId="7C6072AB" w:rsidR="00810D9C" w:rsidRPr="00810D9C" w:rsidRDefault="00810D9C" w:rsidP="00810D9C">
      <w:pPr>
        <w:rPr>
          <w:rFonts w:ascii="Times New Roman" w:hAnsi="Times New Roman" w:cs="Times New Roman"/>
          <w:sz w:val="28"/>
          <w:szCs w:val="28"/>
        </w:rPr>
      </w:pPr>
      <w:r>
        <w:rPr>
          <w:rFonts w:ascii="Times New Roman" w:hAnsi="Times New Roman" w:cs="Times New Roman"/>
          <w:b/>
          <w:bCs/>
          <w:sz w:val="28"/>
          <w:szCs w:val="28"/>
        </w:rPr>
        <w:lastRenderedPageBreak/>
        <w:pict w14:anchorId="42C78C5C">
          <v:rect id="_x0000_i1031" style="width:0;height:1.5pt" o:hralign="center" o:hrstd="t" o:hr="t" fillcolor="#a0a0a0" stroked="f"/>
        </w:pict>
      </w:r>
    </w:p>
    <w:p w14:paraId="74CE1549" w14:textId="684D70D5" w:rsidR="00335726" w:rsidRDefault="00335726">
      <w:pPr>
        <w:rPr>
          <w:rFonts w:ascii="Times New Roman" w:hAnsi="Times New Roman" w:cs="Times New Roman"/>
          <w:sz w:val="28"/>
          <w:szCs w:val="28"/>
        </w:rPr>
      </w:pPr>
      <w:r>
        <w:rPr>
          <w:rFonts w:ascii="Times New Roman" w:hAnsi="Times New Roman" w:cs="Times New Roman"/>
          <w:sz w:val="28"/>
          <w:szCs w:val="28"/>
        </w:rPr>
        <w:tab/>
        <w:t>When a complaint is filed, what happens next?</w:t>
      </w:r>
    </w:p>
    <w:p w14:paraId="1E9EAD1D" w14:textId="5B02107B" w:rsidR="00335726" w:rsidRDefault="0033572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Review by director</w:t>
      </w:r>
    </w:p>
    <w:p w14:paraId="652BCDA8" w14:textId="2382D0A8" w:rsidR="00335726" w:rsidRDefault="00335726">
      <w:pPr>
        <w:rPr>
          <w:rFonts w:ascii="Times New Roman" w:hAnsi="Times New Roman" w:cs="Times New Roman"/>
          <w:sz w:val="28"/>
          <w:szCs w:val="28"/>
        </w:rPr>
      </w:pPr>
      <w:r>
        <w:rPr>
          <w:rFonts w:ascii="Times New Roman" w:hAnsi="Times New Roman" w:cs="Times New Roman"/>
          <w:sz w:val="28"/>
          <w:szCs w:val="28"/>
        </w:rPr>
        <w:t>Assuming everything in complaint is true, would the conduct constitute judicial misconduct</w:t>
      </w:r>
    </w:p>
    <w:p w14:paraId="4AC6E7B8" w14:textId="2875E082" w:rsidR="00335726" w:rsidRDefault="00335726" w:rsidP="00335726">
      <w:pPr>
        <w:ind w:left="720"/>
        <w:rPr>
          <w:rFonts w:ascii="Times New Roman" w:hAnsi="Times New Roman" w:cs="Times New Roman"/>
          <w:sz w:val="28"/>
          <w:szCs w:val="28"/>
        </w:rPr>
      </w:pPr>
      <w:r>
        <w:rPr>
          <w:rFonts w:ascii="Times New Roman" w:hAnsi="Times New Roman" w:cs="Times New Roman"/>
          <w:sz w:val="28"/>
          <w:szCs w:val="28"/>
        </w:rPr>
        <w:t>After review, Director may authorize full investigation, may dismiss the complaint and may recommend discipline</w:t>
      </w:r>
    </w:p>
    <w:p w14:paraId="12A03DF7" w14:textId="77777777" w:rsidR="00335726" w:rsidRDefault="00335726" w:rsidP="00335726">
      <w:pPr>
        <w:rPr>
          <w:rFonts w:ascii="Times New Roman" w:hAnsi="Times New Roman" w:cs="Times New Roman"/>
          <w:sz w:val="28"/>
          <w:szCs w:val="28"/>
        </w:rPr>
      </w:pPr>
      <w:r>
        <w:rPr>
          <w:rFonts w:ascii="Times New Roman" w:hAnsi="Times New Roman" w:cs="Times New Roman"/>
          <w:sz w:val="28"/>
          <w:szCs w:val="28"/>
        </w:rPr>
        <w:t>About how often does the investigative panel meet?</w:t>
      </w:r>
    </w:p>
    <w:p w14:paraId="2A8D5F0D" w14:textId="2C031F73" w:rsidR="00335726" w:rsidRDefault="00335726" w:rsidP="00335726">
      <w:pPr>
        <w:ind w:left="720"/>
        <w:rPr>
          <w:rFonts w:ascii="Times New Roman" w:hAnsi="Times New Roman" w:cs="Times New Roman"/>
          <w:sz w:val="28"/>
          <w:szCs w:val="28"/>
        </w:rPr>
      </w:pPr>
      <w:r>
        <w:rPr>
          <w:rFonts w:ascii="Times New Roman" w:hAnsi="Times New Roman" w:cs="Times New Roman"/>
          <w:sz w:val="28"/>
          <w:szCs w:val="28"/>
        </w:rPr>
        <w:t>Does the investigative panel hear about every complaint filed on only ones where the Director believes and investigation is warranted?</w:t>
      </w:r>
    </w:p>
    <w:p w14:paraId="78EC0C49" w14:textId="77777777" w:rsidR="00335726" w:rsidRDefault="00335726">
      <w:pPr>
        <w:rPr>
          <w:rFonts w:ascii="Times New Roman" w:hAnsi="Times New Roman" w:cs="Times New Roman"/>
          <w:sz w:val="28"/>
          <w:szCs w:val="28"/>
        </w:rPr>
      </w:pPr>
    </w:p>
    <w:p w14:paraId="413085CE" w14:textId="77777777" w:rsidR="00335726" w:rsidRDefault="00335726">
      <w:pPr>
        <w:rPr>
          <w:rFonts w:ascii="Times New Roman" w:hAnsi="Times New Roman" w:cs="Times New Roman"/>
          <w:sz w:val="28"/>
          <w:szCs w:val="28"/>
        </w:rPr>
      </w:pPr>
    </w:p>
    <w:p w14:paraId="34EF7485" w14:textId="77777777" w:rsidR="00335726" w:rsidRDefault="00335726">
      <w:pPr>
        <w:rPr>
          <w:rFonts w:ascii="Times New Roman" w:hAnsi="Times New Roman" w:cs="Times New Roman"/>
          <w:sz w:val="28"/>
          <w:szCs w:val="28"/>
        </w:rPr>
      </w:pPr>
    </w:p>
    <w:p w14:paraId="359FAB3E" w14:textId="77777777" w:rsidR="00335726" w:rsidRDefault="00335726">
      <w:pPr>
        <w:rPr>
          <w:rFonts w:ascii="Times New Roman" w:hAnsi="Times New Roman" w:cs="Times New Roman"/>
          <w:sz w:val="28"/>
          <w:szCs w:val="28"/>
        </w:rPr>
      </w:pPr>
    </w:p>
    <w:p w14:paraId="43A00E26" w14:textId="13372B4B" w:rsidR="00335726" w:rsidRDefault="00335726">
      <w:pPr>
        <w:rPr>
          <w:rFonts w:ascii="Times New Roman" w:hAnsi="Times New Roman" w:cs="Times New Roman"/>
          <w:sz w:val="28"/>
          <w:szCs w:val="28"/>
        </w:rPr>
      </w:pPr>
      <w:r>
        <w:rPr>
          <w:rFonts w:ascii="Times New Roman" w:hAnsi="Times New Roman" w:cs="Times New Roman"/>
          <w:sz w:val="28"/>
          <w:szCs w:val="28"/>
        </w:rPr>
        <w:t>Will the judge against whom a complaint is filed know about it?</w:t>
      </w:r>
    </w:p>
    <w:p w14:paraId="468FE864" w14:textId="79876C3C" w:rsidR="00335726" w:rsidRDefault="00335726">
      <w:pPr>
        <w:rPr>
          <w:rFonts w:ascii="Times New Roman" w:hAnsi="Times New Roman" w:cs="Times New Roman"/>
          <w:sz w:val="28"/>
          <w:szCs w:val="28"/>
        </w:rPr>
      </w:pPr>
      <w:r>
        <w:rPr>
          <w:rFonts w:ascii="Times New Roman" w:hAnsi="Times New Roman" w:cs="Times New Roman"/>
          <w:sz w:val="28"/>
          <w:szCs w:val="28"/>
        </w:rPr>
        <w:tab/>
        <w:t>Under what circumstances will the judge become aware of the complaint?</w:t>
      </w:r>
    </w:p>
    <w:p w14:paraId="2CA06846" w14:textId="77777777" w:rsidR="00335726" w:rsidRDefault="00335726">
      <w:pPr>
        <w:rPr>
          <w:rFonts w:ascii="Times New Roman" w:hAnsi="Times New Roman" w:cs="Times New Roman"/>
          <w:sz w:val="28"/>
          <w:szCs w:val="28"/>
        </w:rPr>
      </w:pPr>
    </w:p>
    <w:p w14:paraId="2D922086" w14:textId="77777777" w:rsidR="00526532" w:rsidRDefault="00526532">
      <w:pPr>
        <w:rPr>
          <w:rFonts w:ascii="Times New Roman" w:hAnsi="Times New Roman" w:cs="Times New Roman"/>
          <w:sz w:val="28"/>
          <w:szCs w:val="28"/>
        </w:rPr>
      </w:pPr>
    </w:p>
    <w:p w14:paraId="62E034D3" w14:textId="77777777" w:rsidR="00526532" w:rsidRDefault="00526532">
      <w:pPr>
        <w:rPr>
          <w:rFonts w:ascii="Times New Roman" w:hAnsi="Times New Roman" w:cs="Times New Roman"/>
          <w:sz w:val="28"/>
          <w:szCs w:val="28"/>
        </w:rPr>
      </w:pPr>
    </w:p>
    <w:p w14:paraId="01168EF3" w14:textId="77777777" w:rsidR="00BB40DC" w:rsidRDefault="00BB40DC" w:rsidP="00526532">
      <w:pPr>
        <w:spacing w:line="480" w:lineRule="auto"/>
        <w:rPr>
          <w:rFonts w:ascii="Times New Roman" w:hAnsi="Times New Roman" w:cs="Times New Roman"/>
          <w:sz w:val="28"/>
          <w:szCs w:val="28"/>
        </w:rPr>
      </w:pPr>
    </w:p>
    <w:p w14:paraId="60D63B2A" w14:textId="77777777" w:rsidR="00810D9C" w:rsidRDefault="00810D9C">
      <w:pPr>
        <w:rPr>
          <w:rFonts w:ascii="Times New Roman" w:hAnsi="Times New Roman" w:cs="Times New Roman"/>
          <w:sz w:val="28"/>
          <w:szCs w:val="28"/>
        </w:rPr>
      </w:pPr>
      <w:r>
        <w:rPr>
          <w:rFonts w:ascii="Times New Roman" w:hAnsi="Times New Roman" w:cs="Times New Roman"/>
          <w:sz w:val="28"/>
          <w:szCs w:val="28"/>
        </w:rPr>
        <w:br w:type="page"/>
      </w:r>
    </w:p>
    <w:p w14:paraId="45A476DD" w14:textId="156BBA49" w:rsidR="00D57B3D" w:rsidRDefault="00D57B3D" w:rsidP="00D57B3D">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 “introduce evidence of hours, rates, or some other indication of the professional services actually rendered.”</w:t>
      </w:r>
      <w:r>
        <w:rPr>
          <w:rStyle w:val="EndnoteReference"/>
          <w:rFonts w:ascii="Times New Roman" w:hAnsi="Times New Roman" w:cs="Times New Roman"/>
          <w:sz w:val="28"/>
          <w:szCs w:val="28"/>
        </w:rPr>
        <w:endnoteReference w:id="1"/>
      </w:r>
    </w:p>
    <w:p w14:paraId="1BA01E77" w14:textId="552BEF5B" w:rsidR="00D57B3D" w:rsidRDefault="00D57B3D" w:rsidP="00D57B3D">
      <w:pPr>
        <w:spacing w:line="480" w:lineRule="auto"/>
        <w:ind w:left="720"/>
        <w:rPr>
          <w:rFonts w:ascii="Times New Roman" w:hAnsi="Times New Roman" w:cs="Times New Roman"/>
          <w:sz w:val="28"/>
          <w:szCs w:val="28"/>
        </w:rPr>
      </w:pPr>
      <w:r>
        <w:rPr>
          <w:rFonts w:ascii="Times New Roman" w:hAnsi="Times New Roman" w:cs="Times New Roman"/>
          <w:sz w:val="28"/>
          <w:szCs w:val="28"/>
        </w:rPr>
        <w:t>In making an award, the trial court is not bound by what the attorney actually billed the client.</w:t>
      </w:r>
      <w:r>
        <w:rPr>
          <w:rStyle w:val="EndnoteReference"/>
          <w:rFonts w:ascii="Times New Roman" w:hAnsi="Times New Roman" w:cs="Times New Roman"/>
          <w:sz w:val="28"/>
          <w:szCs w:val="28"/>
        </w:rPr>
        <w:endnoteReference w:id="2"/>
      </w:r>
    </w:p>
    <w:p w14:paraId="50B4118E" w14:textId="5F469842" w:rsidR="00D57B3D" w:rsidRDefault="00D57B3D" w:rsidP="00D57B3D">
      <w:pPr>
        <w:spacing w:line="480" w:lineRule="auto"/>
        <w:rPr>
          <w:rFonts w:ascii="Times New Roman" w:hAnsi="Times New Roman" w:cs="Times New Roman"/>
          <w:sz w:val="28"/>
          <w:szCs w:val="28"/>
        </w:rPr>
      </w:pPr>
      <w:r>
        <w:rPr>
          <w:rFonts w:ascii="Times New Roman" w:hAnsi="Times New Roman" w:cs="Times New Roman"/>
          <w:sz w:val="28"/>
          <w:szCs w:val="28"/>
        </w:rPr>
        <w:t>Even when “expert witnesses” are called to prove the claimed fees, the trial court may accept, reject any or all of any witness’ testimony.</w:t>
      </w:r>
      <w:r>
        <w:rPr>
          <w:rStyle w:val="EndnoteReference"/>
          <w:rFonts w:ascii="Times New Roman" w:hAnsi="Times New Roman" w:cs="Times New Roman"/>
          <w:sz w:val="28"/>
          <w:szCs w:val="28"/>
        </w:rPr>
        <w:endnoteReference w:id="3"/>
      </w:r>
    </w:p>
    <w:p w14:paraId="36CB819D" w14:textId="286C8D58" w:rsidR="00EA2D97" w:rsidRDefault="00335726" w:rsidP="00D57B3D">
      <w:pPr>
        <w:spacing w:line="480" w:lineRule="auto"/>
        <w:rPr>
          <w:rFonts w:ascii="Times New Roman" w:hAnsi="Times New Roman" w:cs="Times New Roman"/>
          <w:sz w:val="28"/>
          <w:szCs w:val="28"/>
        </w:rPr>
      </w:pPr>
      <w:r>
        <w:rPr>
          <w:rFonts w:ascii="Times New Roman" w:hAnsi="Times New Roman" w:cs="Times New Roman"/>
          <w:b/>
          <w:bCs/>
          <w:sz w:val="28"/>
          <w:szCs w:val="28"/>
        </w:rPr>
        <w:pict w14:anchorId="5092BD14">
          <v:rect id="_x0000_i1032" style="width:0;height:1.5pt" o:hralign="center" o:hrstd="t" o:hr="t" fillcolor="#a0a0a0" stroked="f"/>
        </w:pict>
      </w:r>
    </w:p>
    <w:p w14:paraId="5046545A" w14:textId="43BE2E05" w:rsidR="003722FF" w:rsidRPr="00C45BF3" w:rsidRDefault="003722FF" w:rsidP="00D57B3D">
      <w:pPr>
        <w:spacing w:line="480" w:lineRule="auto"/>
        <w:rPr>
          <w:rFonts w:ascii="Times New Roman" w:hAnsi="Times New Roman" w:cs="Times New Roman"/>
          <w:b/>
          <w:bCs/>
          <w:sz w:val="28"/>
          <w:szCs w:val="28"/>
        </w:rPr>
      </w:pPr>
      <w:r w:rsidRPr="00C45BF3">
        <w:rPr>
          <w:rFonts w:ascii="Times New Roman" w:hAnsi="Times New Roman" w:cs="Times New Roman"/>
          <w:b/>
          <w:bCs/>
          <w:sz w:val="28"/>
          <w:szCs w:val="28"/>
        </w:rPr>
        <w:t>Good/Bad Faith</w:t>
      </w:r>
    </w:p>
    <w:p w14:paraId="6095B4DD" w14:textId="583C5E27" w:rsidR="003722FF" w:rsidRDefault="003722FF" w:rsidP="00D57B3D">
      <w:pPr>
        <w:spacing w:line="480" w:lineRule="auto"/>
        <w:rPr>
          <w:rFonts w:ascii="Times New Roman" w:hAnsi="Times New Roman" w:cs="Times New Roman"/>
          <w:sz w:val="28"/>
          <w:szCs w:val="28"/>
        </w:rPr>
      </w:pPr>
      <w:r>
        <w:rPr>
          <w:rFonts w:ascii="Times New Roman" w:hAnsi="Times New Roman" w:cs="Times New Roman"/>
          <w:sz w:val="28"/>
          <w:szCs w:val="28"/>
        </w:rPr>
        <w:t>Under the statute, if the evidence shows that a party is entitled to an award of fees, the trial court may determine that the offer was not made in good faith – and if that finding is made, the trial court may disallow fees under the statute</w:t>
      </w:r>
    </w:p>
    <w:p w14:paraId="34B5F7E1" w14:textId="6C0D4BE1" w:rsidR="003722FF" w:rsidRDefault="003722FF" w:rsidP="003722FF">
      <w:pPr>
        <w:spacing w:line="480" w:lineRule="auto"/>
        <w:ind w:left="720"/>
        <w:rPr>
          <w:rFonts w:ascii="Times New Roman" w:hAnsi="Times New Roman" w:cs="Times New Roman"/>
          <w:sz w:val="28"/>
          <w:szCs w:val="28"/>
        </w:rPr>
      </w:pPr>
      <w:r>
        <w:rPr>
          <w:rFonts w:ascii="Times New Roman" w:hAnsi="Times New Roman" w:cs="Times New Roman"/>
          <w:sz w:val="28"/>
          <w:szCs w:val="28"/>
        </w:rPr>
        <w:t>Appellate courts generally defer to the findings of the trial court on the issue of good faith – because the trial court is in the best position to make a fact-based determination</w:t>
      </w:r>
      <w:r>
        <w:rPr>
          <w:rStyle w:val="EndnoteReference"/>
          <w:rFonts w:ascii="Times New Roman" w:hAnsi="Times New Roman" w:cs="Times New Roman"/>
          <w:sz w:val="28"/>
          <w:szCs w:val="28"/>
        </w:rPr>
        <w:endnoteReference w:id="4"/>
      </w:r>
    </w:p>
    <w:p w14:paraId="19C3E225" w14:textId="2EFF512D" w:rsidR="003722FF" w:rsidRDefault="003722FF" w:rsidP="003722FF">
      <w:pPr>
        <w:spacing w:line="480" w:lineRule="auto"/>
        <w:rPr>
          <w:rFonts w:ascii="Times New Roman" w:hAnsi="Times New Roman" w:cs="Times New Roman"/>
          <w:sz w:val="28"/>
          <w:szCs w:val="28"/>
        </w:rPr>
      </w:pPr>
      <w:r>
        <w:rPr>
          <w:rFonts w:ascii="Times New Roman" w:hAnsi="Times New Roman" w:cs="Times New Roman"/>
          <w:sz w:val="28"/>
          <w:szCs w:val="28"/>
        </w:rPr>
        <w:t xml:space="preserve">“[A] </w:t>
      </w:r>
      <w:r w:rsidR="00C45BF3">
        <w:rPr>
          <w:rFonts w:ascii="Times New Roman" w:hAnsi="Times New Roman" w:cs="Times New Roman"/>
          <w:sz w:val="28"/>
          <w:szCs w:val="28"/>
        </w:rPr>
        <w:t>[pa</w:t>
      </w:r>
      <w:r>
        <w:rPr>
          <w:rFonts w:ascii="Times New Roman" w:hAnsi="Times New Roman" w:cs="Times New Roman"/>
          <w:sz w:val="28"/>
          <w:szCs w:val="28"/>
        </w:rPr>
        <w:t>rty’s reasonable and correct determination that its exposure is minimal, and its offer to settle the matter for a nominal value, does not require a finding that the offer was made in bad faith.”</w:t>
      </w:r>
      <w:r>
        <w:rPr>
          <w:rStyle w:val="EndnoteReference"/>
          <w:rFonts w:ascii="Times New Roman" w:hAnsi="Times New Roman" w:cs="Times New Roman"/>
          <w:sz w:val="28"/>
          <w:szCs w:val="28"/>
        </w:rPr>
        <w:endnoteReference w:id="5"/>
      </w:r>
    </w:p>
    <w:p w14:paraId="62BB97EA" w14:textId="30955A65" w:rsidR="003722FF" w:rsidRDefault="003722FF" w:rsidP="003722FF">
      <w:pPr>
        <w:spacing w:line="480" w:lineRule="auto"/>
        <w:ind w:left="720"/>
        <w:rPr>
          <w:rFonts w:ascii="Times New Roman" w:hAnsi="Times New Roman" w:cs="Times New Roman"/>
          <w:sz w:val="28"/>
          <w:szCs w:val="28"/>
        </w:rPr>
      </w:pPr>
      <w:r w:rsidRPr="003722FF">
        <w:rPr>
          <w:rFonts w:ascii="Times New Roman" w:hAnsi="Times New Roman" w:cs="Times New Roman"/>
          <w:sz w:val="28"/>
          <w:szCs w:val="28"/>
        </w:rPr>
        <w:lastRenderedPageBreak/>
        <w:t>“[W]hether an offer was made in good faith rests on whether the offeror has a reasonable foundation on which to base the offer and that so long as the offeror has a basis in known or reasonably believed fact to conclude that the offer is justifiable, the good faith requirement has been satisfied.”</w:t>
      </w:r>
      <w:r w:rsidR="00C45BF3">
        <w:rPr>
          <w:rStyle w:val="EndnoteReference"/>
          <w:rFonts w:ascii="Times New Roman" w:hAnsi="Times New Roman" w:cs="Times New Roman"/>
          <w:sz w:val="28"/>
          <w:szCs w:val="28"/>
        </w:rPr>
        <w:endnoteReference w:id="6"/>
      </w:r>
    </w:p>
    <w:p w14:paraId="614D8900" w14:textId="13A061B5" w:rsidR="00C45BF3" w:rsidRDefault="00C45BF3" w:rsidP="00C45BF3">
      <w:pPr>
        <w:spacing w:line="480" w:lineRule="auto"/>
        <w:rPr>
          <w:rFonts w:ascii="Times New Roman" w:hAnsi="Times New Roman" w:cs="Times New Roman"/>
          <w:sz w:val="28"/>
          <w:szCs w:val="28"/>
        </w:rPr>
      </w:pPr>
      <w:r>
        <w:rPr>
          <w:rFonts w:ascii="Times New Roman" w:hAnsi="Times New Roman" w:cs="Times New Roman"/>
          <w:sz w:val="28"/>
          <w:szCs w:val="28"/>
        </w:rPr>
        <w:t>When there was a nominal offer, the trial court should consider the following factors:</w:t>
      </w:r>
    </w:p>
    <w:p w14:paraId="0FA9A4CE" w14:textId="76CE21B6" w:rsidR="00C45BF3" w:rsidRDefault="00C45BF3" w:rsidP="00C45BF3">
      <w:pPr>
        <w:spacing w:line="480" w:lineRule="auto"/>
        <w:ind w:left="720"/>
        <w:rPr>
          <w:rFonts w:ascii="Times New Roman" w:hAnsi="Times New Roman" w:cs="Times New Roman"/>
          <w:sz w:val="28"/>
          <w:szCs w:val="28"/>
        </w:rPr>
      </w:pPr>
      <w:r>
        <w:rPr>
          <w:rFonts w:ascii="Times New Roman" w:hAnsi="Times New Roman" w:cs="Times New Roman"/>
          <w:sz w:val="28"/>
          <w:szCs w:val="28"/>
        </w:rPr>
        <w:t>“</w:t>
      </w:r>
      <w:r w:rsidRPr="00C45BF3">
        <w:rPr>
          <w:rFonts w:ascii="Times New Roman" w:hAnsi="Times New Roman" w:cs="Times New Roman"/>
          <w:sz w:val="28"/>
          <w:szCs w:val="28"/>
        </w:rPr>
        <w:t xml:space="preserve">(1) whether the offer bore no reasonable relationship to the amount of damages, </w:t>
      </w:r>
    </w:p>
    <w:p w14:paraId="561B5C8A" w14:textId="77777777" w:rsidR="00C45BF3" w:rsidRDefault="00C45BF3" w:rsidP="00C45BF3">
      <w:pPr>
        <w:spacing w:line="480" w:lineRule="auto"/>
        <w:ind w:firstLine="720"/>
        <w:rPr>
          <w:rFonts w:ascii="Times New Roman" w:hAnsi="Times New Roman" w:cs="Times New Roman"/>
          <w:sz w:val="28"/>
          <w:szCs w:val="28"/>
        </w:rPr>
      </w:pPr>
      <w:r w:rsidRPr="00C45BF3">
        <w:rPr>
          <w:rFonts w:ascii="Times New Roman" w:hAnsi="Times New Roman" w:cs="Times New Roman"/>
          <w:sz w:val="28"/>
          <w:szCs w:val="28"/>
        </w:rPr>
        <w:t xml:space="preserve">(2) a realistic assessment of liability, or </w:t>
      </w:r>
    </w:p>
    <w:p w14:paraId="17944F01" w14:textId="77777777" w:rsidR="00C45BF3" w:rsidRDefault="00C45BF3" w:rsidP="00C45BF3">
      <w:pPr>
        <w:spacing w:line="480" w:lineRule="auto"/>
        <w:ind w:firstLine="720"/>
        <w:rPr>
          <w:rFonts w:ascii="Times New Roman" w:hAnsi="Times New Roman" w:cs="Times New Roman"/>
          <w:sz w:val="28"/>
          <w:szCs w:val="28"/>
        </w:rPr>
      </w:pPr>
      <w:r w:rsidRPr="00C45BF3">
        <w:rPr>
          <w:rFonts w:ascii="Times New Roman" w:hAnsi="Times New Roman" w:cs="Times New Roman"/>
          <w:sz w:val="28"/>
          <w:szCs w:val="28"/>
        </w:rPr>
        <w:t xml:space="preserve">(3) that the offeror lacked intent to settle the claim. </w:t>
      </w:r>
    </w:p>
    <w:p w14:paraId="56B99AB7" w14:textId="5CF0420B" w:rsidR="00C45BF3" w:rsidRDefault="00C45BF3" w:rsidP="00C45BF3">
      <w:pPr>
        <w:spacing w:line="480" w:lineRule="auto"/>
        <w:rPr>
          <w:rFonts w:ascii="Times New Roman" w:hAnsi="Times New Roman" w:cs="Times New Roman"/>
          <w:sz w:val="28"/>
          <w:szCs w:val="28"/>
        </w:rPr>
      </w:pPr>
      <w:r w:rsidRPr="00C45BF3">
        <w:rPr>
          <w:rFonts w:ascii="Times New Roman" w:hAnsi="Times New Roman" w:cs="Times New Roman"/>
          <w:sz w:val="28"/>
          <w:szCs w:val="28"/>
        </w:rPr>
        <w:t>However, the trial court cannot base a ruling exclusively on the objective factors but is instead required to consider the offeror's explanation and then determine whether, despite consideration of the objective factors the offeror had a subjectively reasonable belief on which to base its offer.</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7"/>
      </w:r>
    </w:p>
    <w:p w14:paraId="54937293" w14:textId="43896CF6" w:rsidR="00C45BF3" w:rsidRDefault="00C45BF3" w:rsidP="00C45BF3">
      <w:pPr>
        <w:spacing w:line="480" w:lineRule="auto"/>
        <w:ind w:left="720" w:firstLine="70"/>
        <w:rPr>
          <w:rFonts w:ascii="Times New Roman" w:hAnsi="Times New Roman" w:cs="Times New Roman"/>
          <w:sz w:val="28"/>
          <w:szCs w:val="28"/>
        </w:rPr>
      </w:pPr>
      <w:r w:rsidRPr="00C45BF3">
        <w:rPr>
          <w:rFonts w:ascii="Times New Roman" w:hAnsi="Times New Roman" w:cs="Times New Roman"/>
          <w:sz w:val="28"/>
          <w:szCs w:val="28"/>
        </w:rPr>
        <w:t>“It is a factual determination, based on the trial court's assessment of the case, the parties, the lawyers, and all of the other factors that go into such a determination, which the trial court has gathered during the progress of the case.”</w:t>
      </w:r>
      <w:r>
        <w:rPr>
          <w:rStyle w:val="EndnoteReference"/>
          <w:rFonts w:ascii="Times New Roman" w:hAnsi="Times New Roman" w:cs="Times New Roman"/>
          <w:sz w:val="28"/>
          <w:szCs w:val="28"/>
        </w:rPr>
        <w:endnoteReference w:id="8"/>
      </w:r>
    </w:p>
    <w:p w14:paraId="0F44F5C6" w14:textId="690A051F" w:rsidR="00C45BF3" w:rsidRDefault="00C45BF3" w:rsidP="00C45BF3">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As the Court of Appeals noted, “</w:t>
      </w:r>
      <w:r w:rsidRPr="00C45BF3">
        <w:rPr>
          <w:rFonts w:ascii="Times New Roman" w:hAnsi="Times New Roman" w:cs="Times New Roman"/>
          <w:sz w:val="28"/>
          <w:szCs w:val="28"/>
        </w:rPr>
        <w:t>neither our research nor the research of the parties has revealed a single Georgia case reversing for an abuse of discretion a trial court's finding on the issue of whether or not an offer was made in good faith.</w:t>
      </w:r>
      <w:r>
        <w:rPr>
          <w:rFonts w:ascii="Times New Roman" w:hAnsi="Times New Roman" w:cs="Times New Roman"/>
          <w:sz w:val="28"/>
          <w:szCs w:val="28"/>
        </w:rPr>
        <w:t>”</w:t>
      </w:r>
      <w:r>
        <w:rPr>
          <w:rStyle w:val="EndnoteReference"/>
          <w:rFonts w:ascii="Times New Roman" w:hAnsi="Times New Roman" w:cs="Times New Roman"/>
          <w:sz w:val="28"/>
          <w:szCs w:val="28"/>
        </w:rPr>
        <w:endnoteReference w:id="9"/>
      </w:r>
    </w:p>
    <w:p w14:paraId="0A7487BE" w14:textId="77468FDD" w:rsidR="00C45BF3" w:rsidRDefault="00335726" w:rsidP="00C45BF3">
      <w:pPr>
        <w:spacing w:line="480" w:lineRule="auto"/>
        <w:rPr>
          <w:rFonts w:ascii="Times New Roman" w:hAnsi="Times New Roman" w:cs="Times New Roman"/>
          <w:sz w:val="28"/>
          <w:szCs w:val="28"/>
        </w:rPr>
      </w:pPr>
      <w:r>
        <w:rPr>
          <w:rFonts w:ascii="Times New Roman" w:hAnsi="Times New Roman" w:cs="Times New Roman"/>
          <w:b/>
          <w:bCs/>
          <w:sz w:val="28"/>
          <w:szCs w:val="28"/>
        </w:rPr>
        <w:pict w14:anchorId="25598B6D">
          <v:rect id="_x0000_i1033" style="width:0;height:1.5pt" o:hralign="center" o:hrstd="t" o:hr="t" fillcolor="#a0a0a0" stroked="f"/>
        </w:pict>
      </w:r>
    </w:p>
    <w:p w14:paraId="50572821" w14:textId="54D025C8" w:rsidR="004D4DFC" w:rsidRPr="00C45BF3" w:rsidRDefault="004D4DFC" w:rsidP="00D57B3D">
      <w:pPr>
        <w:spacing w:line="480" w:lineRule="auto"/>
        <w:rPr>
          <w:rFonts w:ascii="Times New Roman" w:hAnsi="Times New Roman" w:cs="Times New Roman"/>
          <w:b/>
          <w:bCs/>
          <w:sz w:val="28"/>
          <w:szCs w:val="28"/>
        </w:rPr>
      </w:pPr>
      <w:r w:rsidRPr="00C45BF3">
        <w:rPr>
          <w:rFonts w:ascii="Times New Roman" w:hAnsi="Times New Roman" w:cs="Times New Roman"/>
          <w:b/>
          <w:bCs/>
          <w:sz w:val="28"/>
          <w:szCs w:val="28"/>
        </w:rPr>
        <w:t>Nuggets relating to OCGA § 9-11-68</w:t>
      </w:r>
    </w:p>
    <w:p w14:paraId="7A4AEBE1" w14:textId="319DE6A5" w:rsidR="004D4DFC" w:rsidRDefault="00AB2846" w:rsidP="00D57B3D">
      <w:pPr>
        <w:spacing w:line="480" w:lineRule="auto"/>
        <w:rPr>
          <w:rFonts w:ascii="Times New Roman" w:hAnsi="Times New Roman" w:cs="Times New Roman"/>
          <w:sz w:val="28"/>
          <w:szCs w:val="28"/>
        </w:rPr>
      </w:pPr>
      <w:r>
        <w:rPr>
          <w:rFonts w:ascii="Times New Roman" w:hAnsi="Times New Roman" w:cs="Times New Roman"/>
          <w:sz w:val="28"/>
          <w:szCs w:val="28"/>
        </w:rPr>
        <w:t>Offer of settlement served in an action that was voluntarily dismissed cannot serve as a valid settlement offer in the renewed action.</w:t>
      </w:r>
      <w:r>
        <w:rPr>
          <w:rStyle w:val="EndnoteReference"/>
          <w:rFonts w:ascii="Times New Roman" w:hAnsi="Times New Roman" w:cs="Times New Roman"/>
          <w:sz w:val="28"/>
          <w:szCs w:val="28"/>
        </w:rPr>
        <w:endnoteReference w:id="10"/>
      </w:r>
    </w:p>
    <w:p w14:paraId="652BDFC0" w14:textId="2B439806" w:rsidR="006151AC" w:rsidRDefault="006151AC" w:rsidP="00D57B3D">
      <w:pPr>
        <w:spacing w:line="480" w:lineRule="auto"/>
        <w:rPr>
          <w:rFonts w:ascii="Times New Roman" w:hAnsi="Times New Roman" w:cs="Times New Roman"/>
          <w:sz w:val="28"/>
          <w:szCs w:val="28"/>
        </w:rPr>
      </w:pPr>
      <w:r>
        <w:rPr>
          <w:rFonts w:ascii="Times New Roman" w:hAnsi="Times New Roman" w:cs="Times New Roman"/>
          <w:sz w:val="28"/>
          <w:szCs w:val="28"/>
        </w:rPr>
        <w:t>No requirement that trial court make written findings of fact and conclusions of law unless the court concludes that the offer was not made in good faith.</w:t>
      </w:r>
      <w:r>
        <w:rPr>
          <w:rStyle w:val="EndnoteReference"/>
          <w:rFonts w:ascii="Times New Roman" w:hAnsi="Times New Roman" w:cs="Times New Roman"/>
          <w:sz w:val="28"/>
          <w:szCs w:val="28"/>
        </w:rPr>
        <w:endnoteReference w:id="11"/>
      </w:r>
    </w:p>
    <w:p w14:paraId="3DF47368" w14:textId="303634C3" w:rsidR="00C45BF3" w:rsidRDefault="00C45BF3" w:rsidP="00D57B3D">
      <w:pPr>
        <w:spacing w:line="480" w:lineRule="auto"/>
        <w:rPr>
          <w:rFonts w:ascii="Times New Roman" w:hAnsi="Times New Roman" w:cs="Times New Roman"/>
          <w:sz w:val="28"/>
          <w:szCs w:val="28"/>
        </w:rPr>
      </w:pPr>
      <w:r>
        <w:rPr>
          <w:rFonts w:ascii="Times New Roman" w:hAnsi="Times New Roman" w:cs="Times New Roman"/>
          <w:sz w:val="28"/>
          <w:szCs w:val="28"/>
        </w:rPr>
        <w:t>Cannot include fees incurred during appeal in the amount claimed under OCGA § 9-11-68.</w:t>
      </w:r>
      <w:r w:rsidR="00E84983">
        <w:rPr>
          <w:rStyle w:val="EndnoteReference"/>
          <w:rFonts w:ascii="Times New Roman" w:hAnsi="Times New Roman" w:cs="Times New Roman"/>
          <w:sz w:val="28"/>
          <w:szCs w:val="28"/>
        </w:rPr>
        <w:endnoteReference w:id="12"/>
      </w:r>
      <w:r w:rsidR="00E84983">
        <w:rPr>
          <w:rFonts w:ascii="Times New Roman" w:hAnsi="Times New Roman" w:cs="Times New Roman"/>
          <w:sz w:val="28"/>
          <w:szCs w:val="28"/>
        </w:rPr>
        <w:t xml:space="preserve"> (this includes fees incurred in interlocutory appeals)</w:t>
      </w:r>
    </w:p>
    <w:p w14:paraId="4F324674" w14:textId="7ABF6754" w:rsidR="007744F5" w:rsidRDefault="00335726" w:rsidP="00D57B3D">
      <w:pPr>
        <w:spacing w:line="480" w:lineRule="auto"/>
        <w:rPr>
          <w:rFonts w:ascii="Times New Roman" w:hAnsi="Times New Roman" w:cs="Times New Roman"/>
          <w:sz w:val="28"/>
          <w:szCs w:val="28"/>
        </w:rPr>
      </w:pPr>
      <w:r>
        <w:rPr>
          <w:rFonts w:ascii="Times New Roman" w:hAnsi="Times New Roman" w:cs="Times New Roman"/>
          <w:b/>
          <w:bCs/>
          <w:sz w:val="28"/>
          <w:szCs w:val="28"/>
        </w:rPr>
        <w:pict w14:anchorId="282DA92A">
          <v:rect id="_x0000_i1034" style="width:0;height:1.5pt" o:hralign="center" o:hrstd="t" o:hr="t" fillcolor="#a0a0a0" stroked="f"/>
        </w:pict>
      </w:r>
    </w:p>
    <w:p w14:paraId="5CCF5A40" w14:textId="77777777" w:rsidR="004D4DFC" w:rsidRDefault="004D4DFC" w:rsidP="00D57B3D">
      <w:pPr>
        <w:spacing w:line="480" w:lineRule="auto"/>
        <w:rPr>
          <w:rFonts w:ascii="Times New Roman" w:hAnsi="Times New Roman" w:cs="Times New Roman"/>
          <w:sz w:val="28"/>
          <w:szCs w:val="28"/>
        </w:rPr>
      </w:pPr>
    </w:p>
    <w:p w14:paraId="646D564C" w14:textId="77777777" w:rsidR="004D4DFC" w:rsidRDefault="004D4DFC" w:rsidP="00D57B3D">
      <w:pPr>
        <w:spacing w:line="480" w:lineRule="auto"/>
        <w:rPr>
          <w:rFonts w:ascii="Times New Roman" w:hAnsi="Times New Roman" w:cs="Times New Roman"/>
          <w:sz w:val="28"/>
          <w:szCs w:val="28"/>
        </w:rPr>
      </w:pPr>
    </w:p>
    <w:p w14:paraId="7EE3C7A6" w14:textId="19C6385F" w:rsidR="00EA2D97" w:rsidRDefault="00EA2D97" w:rsidP="00D57B3D">
      <w:pPr>
        <w:spacing w:line="480" w:lineRule="auto"/>
        <w:rPr>
          <w:rFonts w:ascii="Times New Roman" w:hAnsi="Times New Roman" w:cs="Times New Roman"/>
          <w:sz w:val="28"/>
          <w:szCs w:val="28"/>
        </w:rPr>
      </w:pPr>
      <w:r>
        <w:rPr>
          <w:rFonts w:ascii="Times New Roman" w:hAnsi="Times New Roman" w:cs="Times New Roman"/>
          <w:sz w:val="28"/>
          <w:szCs w:val="28"/>
        </w:rPr>
        <w:t>To this law we have discussed above, we need to now superimpose the 2025 Tort Reform law-specifically OCGA § 9-15-16 (EFF 4/16/2025)</w:t>
      </w:r>
    </w:p>
    <w:p w14:paraId="7C222ADE" w14:textId="77777777" w:rsidR="00EA2D97" w:rsidRPr="00EA2D97" w:rsidRDefault="00EA2D97" w:rsidP="00EA2D97">
      <w:pPr>
        <w:spacing w:line="480" w:lineRule="auto"/>
        <w:ind w:left="720"/>
        <w:rPr>
          <w:rFonts w:ascii="Times New Roman" w:hAnsi="Times New Roman" w:cs="Times New Roman"/>
          <w:sz w:val="28"/>
          <w:szCs w:val="28"/>
        </w:rPr>
      </w:pPr>
      <w:r w:rsidRPr="00EA2D97">
        <w:rPr>
          <w:rFonts w:ascii="Times New Roman" w:hAnsi="Times New Roman" w:cs="Times New Roman"/>
          <w:sz w:val="28"/>
          <w:szCs w:val="28"/>
        </w:rPr>
        <w:lastRenderedPageBreak/>
        <w:t>(a) In any civil action, no party shall recover the same attorney's fees, court costs, or expenses of litigation more than once pursuant to one or more statutes authorizing awards of attorney's fees, court costs, or expenses of litigation, whether such statute or statutes authorize such awards for compensatory or punitive purposes, unless the statute or statutes specifically authorize the recovery of duplicate attorney's fees, court costs, or expenses of litigation.</w:t>
      </w:r>
    </w:p>
    <w:p w14:paraId="45D3935D" w14:textId="77777777" w:rsidR="00EA2D97" w:rsidRPr="00EA2D97" w:rsidRDefault="00EA2D97" w:rsidP="00EA2D97">
      <w:pPr>
        <w:spacing w:line="480" w:lineRule="auto"/>
        <w:ind w:left="720"/>
        <w:rPr>
          <w:rFonts w:ascii="Times New Roman" w:hAnsi="Times New Roman" w:cs="Times New Roman"/>
          <w:sz w:val="28"/>
          <w:szCs w:val="28"/>
        </w:rPr>
      </w:pPr>
      <w:r w:rsidRPr="00EA2D97">
        <w:rPr>
          <w:rFonts w:ascii="Times New Roman" w:hAnsi="Times New Roman" w:cs="Times New Roman"/>
          <w:sz w:val="28"/>
          <w:szCs w:val="28"/>
        </w:rPr>
        <w:t xml:space="preserve">(b) In any civil action, if a party seeks to recover attorney's fees pursuant to any statute authorizing an award of reasonable attorney's fees, </w:t>
      </w:r>
      <w:r w:rsidRPr="00EA2D97">
        <w:rPr>
          <w:rFonts w:ascii="Times New Roman" w:hAnsi="Times New Roman" w:cs="Times New Roman"/>
          <w:b/>
          <w:bCs/>
          <w:i/>
          <w:iCs/>
          <w:sz w:val="28"/>
          <w:szCs w:val="28"/>
        </w:rPr>
        <w:t>a contingent fee agreement between such party and such party's attorney shall not be admissible as proof of the reasonableness of the fees</w:t>
      </w:r>
      <w:r w:rsidRPr="00EA2D97">
        <w:rPr>
          <w:rFonts w:ascii="Times New Roman" w:hAnsi="Times New Roman" w:cs="Times New Roman"/>
          <w:sz w:val="28"/>
          <w:szCs w:val="28"/>
        </w:rPr>
        <w:t>.</w:t>
      </w:r>
    </w:p>
    <w:p w14:paraId="60C9356B" w14:textId="77777777" w:rsidR="00EA2D97" w:rsidRDefault="00EA2D97" w:rsidP="00EA2D97">
      <w:pPr>
        <w:spacing w:line="480" w:lineRule="auto"/>
        <w:ind w:left="720"/>
        <w:rPr>
          <w:rFonts w:ascii="Times New Roman" w:hAnsi="Times New Roman" w:cs="Times New Roman"/>
          <w:sz w:val="28"/>
          <w:szCs w:val="28"/>
        </w:rPr>
      </w:pPr>
      <w:r w:rsidRPr="00EA2D97">
        <w:rPr>
          <w:rFonts w:ascii="Times New Roman" w:hAnsi="Times New Roman" w:cs="Times New Roman"/>
          <w:sz w:val="28"/>
          <w:szCs w:val="28"/>
        </w:rPr>
        <w:t>(c) Nothing in this Code section shall limit or diminish any contractual right to recover attorney's fees, court costs, or expenses of litigation.</w:t>
      </w:r>
    </w:p>
    <w:p w14:paraId="540E5861" w14:textId="3A74D9F5" w:rsidR="007744F5" w:rsidRDefault="00335726" w:rsidP="007744F5">
      <w:pPr>
        <w:spacing w:line="480" w:lineRule="auto"/>
        <w:rPr>
          <w:rFonts w:ascii="Times New Roman" w:hAnsi="Times New Roman" w:cs="Times New Roman"/>
          <w:sz w:val="28"/>
          <w:szCs w:val="28"/>
        </w:rPr>
      </w:pPr>
      <w:r>
        <w:rPr>
          <w:rFonts w:ascii="Times New Roman" w:hAnsi="Times New Roman" w:cs="Times New Roman"/>
          <w:b/>
          <w:bCs/>
          <w:sz w:val="28"/>
          <w:szCs w:val="28"/>
        </w:rPr>
        <w:pict w14:anchorId="744FF4F2">
          <v:rect id="_x0000_i1035" style="width:0;height:1.5pt" o:hralign="center" o:hrstd="t" o:hr="t" fillcolor="#a0a0a0" stroked="f"/>
        </w:pict>
      </w:r>
    </w:p>
    <w:p w14:paraId="45338263" w14:textId="2A5BF4E2" w:rsidR="007744F5" w:rsidRDefault="007744F5" w:rsidP="007744F5">
      <w:pPr>
        <w:spacing w:line="480" w:lineRule="auto"/>
        <w:rPr>
          <w:rFonts w:ascii="Times New Roman" w:hAnsi="Times New Roman" w:cs="Times New Roman"/>
          <w:sz w:val="28"/>
          <w:szCs w:val="28"/>
        </w:rPr>
      </w:pPr>
      <w:r>
        <w:rPr>
          <w:rFonts w:ascii="Times New Roman" w:hAnsi="Times New Roman" w:cs="Times New Roman"/>
          <w:sz w:val="28"/>
          <w:szCs w:val="28"/>
        </w:rPr>
        <w:t>So, if a contingency agreement is not admissible as proof of reasonableness, I am not sure what other use might make the contingency relevant. Not saying there could be not relevant use other than reasonableness, but we cannot immediately see any other relevant use of the agreement.</w:t>
      </w:r>
    </w:p>
    <w:p w14:paraId="1AF4E65F" w14:textId="78AF82B9" w:rsidR="007744F5" w:rsidRDefault="007744F5" w:rsidP="007744F5">
      <w:pPr>
        <w:spacing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That translates into a reality for plaintiff’s lawyers – they will have to be prepared to present evidence of hours/hourly rate, etc.</w:t>
      </w:r>
    </w:p>
    <w:p w14:paraId="656884D5" w14:textId="5455C02A" w:rsidR="007744F5" w:rsidRDefault="007744F5" w:rsidP="007744F5">
      <w:pPr>
        <w:spacing w:line="480" w:lineRule="auto"/>
        <w:rPr>
          <w:rFonts w:ascii="Times New Roman" w:hAnsi="Times New Roman" w:cs="Times New Roman"/>
          <w:sz w:val="28"/>
          <w:szCs w:val="28"/>
        </w:rPr>
      </w:pPr>
      <w:r>
        <w:rPr>
          <w:rFonts w:ascii="Times New Roman" w:hAnsi="Times New Roman" w:cs="Times New Roman"/>
          <w:sz w:val="28"/>
          <w:szCs w:val="28"/>
        </w:rPr>
        <w:t>Several of the cases dealing with OCGA § 9-11-68 have noted that “expert witnesses” (i.e. other plaintiff’s lawyers) have testified as to reasonable hourly rates, etc.</w:t>
      </w:r>
    </w:p>
    <w:p w14:paraId="0EF59D7D" w14:textId="7370B2DE" w:rsidR="007744F5" w:rsidRDefault="007744F5" w:rsidP="007744F5">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We are probably going to see more of that </w:t>
      </w:r>
      <w:r w:rsidR="00E84983">
        <w:rPr>
          <w:rFonts w:ascii="Times New Roman" w:hAnsi="Times New Roman" w:cs="Times New Roman"/>
          <w:sz w:val="28"/>
          <w:szCs w:val="28"/>
        </w:rPr>
        <w:t xml:space="preserve">expert </w:t>
      </w:r>
      <w:r>
        <w:rPr>
          <w:rFonts w:ascii="Times New Roman" w:hAnsi="Times New Roman" w:cs="Times New Roman"/>
          <w:sz w:val="28"/>
          <w:szCs w:val="28"/>
        </w:rPr>
        <w:t>testimony going forward</w:t>
      </w:r>
    </w:p>
    <w:p w14:paraId="204CFBAF" w14:textId="5DEB250D" w:rsidR="00582336" w:rsidRDefault="00335726" w:rsidP="007744F5">
      <w:pPr>
        <w:spacing w:line="480" w:lineRule="auto"/>
        <w:rPr>
          <w:rFonts w:ascii="Times New Roman" w:hAnsi="Times New Roman" w:cs="Times New Roman"/>
          <w:sz w:val="28"/>
          <w:szCs w:val="28"/>
        </w:rPr>
      </w:pPr>
      <w:r>
        <w:rPr>
          <w:rFonts w:ascii="Times New Roman" w:hAnsi="Times New Roman" w:cs="Times New Roman"/>
          <w:b/>
          <w:bCs/>
          <w:sz w:val="28"/>
          <w:szCs w:val="28"/>
        </w:rPr>
        <w:pict w14:anchorId="1CB4C4B5">
          <v:rect id="_x0000_i1036" style="width:0;height:1.5pt" o:hralign="center" o:hrstd="t" o:hr="t" fillcolor="#a0a0a0" stroked="f"/>
        </w:pict>
      </w:r>
    </w:p>
    <w:p w14:paraId="35FB9214" w14:textId="0BECCD24" w:rsidR="00582336" w:rsidRDefault="00582336" w:rsidP="007744F5">
      <w:pPr>
        <w:spacing w:line="480" w:lineRule="auto"/>
        <w:rPr>
          <w:rFonts w:ascii="Times New Roman" w:hAnsi="Times New Roman" w:cs="Times New Roman"/>
          <w:sz w:val="28"/>
          <w:szCs w:val="28"/>
        </w:rPr>
      </w:pPr>
      <w:r>
        <w:rPr>
          <w:rFonts w:ascii="Times New Roman" w:hAnsi="Times New Roman" w:cs="Times New Roman"/>
          <w:sz w:val="28"/>
          <w:szCs w:val="28"/>
        </w:rPr>
        <w:t>To be clear, we do not have a crystal ball and cannot see into the future</w:t>
      </w:r>
    </w:p>
    <w:p w14:paraId="46A42290" w14:textId="20F940A3" w:rsidR="00582336" w:rsidRDefault="00582336" w:rsidP="00582336">
      <w:pPr>
        <w:spacing w:line="480" w:lineRule="auto"/>
        <w:ind w:left="720"/>
        <w:rPr>
          <w:rFonts w:ascii="Times New Roman" w:hAnsi="Times New Roman" w:cs="Times New Roman"/>
          <w:sz w:val="28"/>
          <w:szCs w:val="28"/>
        </w:rPr>
      </w:pPr>
      <w:r>
        <w:rPr>
          <w:rFonts w:ascii="Times New Roman" w:hAnsi="Times New Roman" w:cs="Times New Roman"/>
          <w:sz w:val="28"/>
          <w:szCs w:val="28"/>
        </w:rPr>
        <w:t>It would appear that the 2025 Tort Reform package has rendered the admissibility of a contingency agreement to prove reasonableness of fees obsolete</w:t>
      </w:r>
    </w:p>
    <w:p w14:paraId="23B02875" w14:textId="07751E6A" w:rsidR="00582336" w:rsidRDefault="00582336" w:rsidP="00582336">
      <w:pPr>
        <w:spacing w:line="480" w:lineRule="auto"/>
        <w:rPr>
          <w:rFonts w:ascii="Times New Roman" w:hAnsi="Times New Roman" w:cs="Times New Roman"/>
          <w:sz w:val="28"/>
          <w:szCs w:val="28"/>
        </w:rPr>
      </w:pPr>
      <w:r>
        <w:rPr>
          <w:rFonts w:ascii="Times New Roman" w:hAnsi="Times New Roman" w:cs="Times New Roman"/>
          <w:sz w:val="28"/>
          <w:szCs w:val="28"/>
        </w:rPr>
        <w:t>Georgia lawyers are resourceful and so I am sure the evolution of the law relating to OCGA § 9-11-68 will be both swift and interesting</w:t>
      </w:r>
    </w:p>
    <w:p w14:paraId="5087A2FB" w14:textId="77777777" w:rsidR="007744F5" w:rsidRPr="00EA2D97" w:rsidRDefault="007744F5" w:rsidP="007744F5">
      <w:pPr>
        <w:spacing w:line="480" w:lineRule="auto"/>
        <w:rPr>
          <w:rFonts w:ascii="Times New Roman" w:hAnsi="Times New Roman" w:cs="Times New Roman"/>
          <w:sz w:val="28"/>
          <w:szCs w:val="28"/>
        </w:rPr>
      </w:pPr>
    </w:p>
    <w:p w14:paraId="72B0B76D" w14:textId="7002F22B" w:rsidR="00F53F9A" w:rsidRPr="00DD2C4A" w:rsidRDefault="00F53F9A" w:rsidP="00DD2C4A">
      <w:pPr>
        <w:spacing w:line="480" w:lineRule="auto"/>
        <w:jc w:val="both"/>
        <w:rPr>
          <w:rFonts w:ascii="Times New Roman" w:eastAsia="Times New Roman" w:hAnsi="Times New Roman" w:cs="Times New Roman"/>
          <w:b/>
          <w:bCs/>
          <w:color w:val="000000"/>
          <w:kern w:val="0"/>
          <w:sz w:val="28"/>
          <w:szCs w:val="28"/>
          <w14:ligatures w14:val="none"/>
        </w:rPr>
      </w:pPr>
      <w:r w:rsidRPr="00DD2C4A">
        <w:rPr>
          <w:rFonts w:ascii="Times New Roman" w:eastAsia="Times New Roman" w:hAnsi="Times New Roman" w:cs="Times New Roman"/>
          <w:b/>
          <w:bCs/>
          <w:color w:val="000000"/>
          <w:kern w:val="0"/>
          <w:sz w:val="28"/>
          <w:szCs w:val="28"/>
          <w14:ligatures w14:val="none"/>
        </w:rPr>
        <w:t>Wade: And remember, you can find the case cites and outline of this podcast and others at goodjudgepod.com !</w:t>
      </w:r>
    </w:p>
    <w:p w14:paraId="00DFC0B2" w14:textId="77777777" w:rsidR="00F53F9A" w:rsidRPr="00DD2C4A" w:rsidRDefault="00F53F9A" w:rsidP="00DD2C4A">
      <w:pPr>
        <w:spacing w:line="480" w:lineRule="auto"/>
        <w:jc w:val="both"/>
        <w:rPr>
          <w:rFonts w:ascii="Times New Roman" w:eastAsia="Times New Roman" w:hAnsi="Times New Roman" w:cs="Times New Roman"/>
          <w:b/>
          <w:bCs/>
          <w:color w:val="000000"/>
          <w:kern w:val="0"/>
          <w:sz w:val="28"/>
          <w:szCs w:val="28"/>
          <w14:ligatures w14:val="none"/>
        </w:rPr>
      </w:pPr>
    </w:p>
    <w:p w14:paraId="72752695" w14:textId="65DFA8F8" w:rsidR="00F53F9A" w:rsidRPr="00582336" w:rsidRDefault="00F53F9A" w:rsidP="00DD2C4A">
      <w:pPr>
        <w:spacing w:line="480" w:lineRule="auto"/>
        <w:jc w:val="center"/>
        <w:rPr>
          <w:rFonts w:ascii="Times New Roman" w:hAnsi="Times New Roman" w:cs="Times New Roman"/>
          <w:b/>
          <w:bCs/>
          <w:sz w:val="28"/>
          <w:szCs w:val="28"/>
        </w:rPr>
      </w:pPr>
      <w:r w:rsidRPr="00DD2C4A">
        <w:rPr>
          <w:rFonts w:ascii="Times New Roman" w:eastAsia="Times New Roman" w:hAnsi="Times New Roman" w:cs="Times New Roman"/>
          <w:b/>
          <w:bCs/>
          <w:color w:val="000000"/>
          <w:kern w:val="0"/>
          <w:sz w:val="28"/>
          <w:szCs w:val="28"/>
          <w:u w:val="single"/>
          <w14:ligatures w14:val="none"/>
        </w:rPr>
        <w:lastRenderedPageBreak/>
        <w:t>MUSIC TRIVIA</w:t>
      </w:r>
      <w:r w:rsidR="00582336">
        <w:rPr>
          <w:rFonts w:ascii="Times New Roman" w:eastAsia="Times New Roman" w:hAnsi="Times New Roman" w:cs="Times New Roman"/>
          <w:b/>
          <w:bCs/>
          <w:color w:val="000000"/>
          <w:kern w:val="0"/>
          <w:sz w:val="28"/>
          <w:szCs w:val="28"/>
          <w14:ligatures w14:val="none"/>
        </w:rPr>
        <w:t xml:space="preserve"> (use prerecorded)</w:t>
      </w:r>
    </w:p>
    <w:sectPr w:rsidR="00F53F9A" w:rsidRPr="00582336">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0DE1" w14:textId="77777777" w:rsidR="00960BD5" w:rsidRDefault="00960BD5" w:rsidP="00D57B3D">
      <w:pPr>
        <w:spacing w:after="0" w:line="240" w:lineRule="auto"/>
      </w:pPr>
      <w:r>
        <w:separator/>
      </w:r>
    </w:p>
  </w:endnote>
  <w:endnote w:type="continuationSeparator" w:id="0">
    <w:p w14:paraId="50FF8207" w14:textId="77777777" w:rsidR="00960BD5" w:rsidRDefault="00960BD5" w:rsidP="00D57B3D">
      <w:pPr>
        <w:spacing w:after="0" w:line="240" w:lineRule="auto"/>
      </w:pPr>
      <w:r>
        <w:continuationSeparator/>
      </w:r>
    </w:p>
  </w:endnote>
  <w:endnote w:id="1">
    <w:p w14:paraId="3FE06590" w14:textId="649A253D" w:rsidR="00D57B3D" w:rsidRDefault="00D57B3D">
      <w:pPr>
        <w:pStyle w:val="EndnoteText"/>
      </w:pPr>
      <w:r>
        <w:rPr>
          <w:rStyle w:val="EndnoteReference"/>
        </w:rPr>
        <w:endnoteRef/>
      </w:r>
      <w:r>
        <w:t xml:space="preserve"> Id., at 483.</w:t>
      </w:r>
    </w:p>
  </w:endnote>
  <w:endnote w:id="2">
    <w:p w14:paraId="00FB2052" w14:textId="462D5BEA" w:rsidR="00D57B3D" w:rsidRPr="00D57B3D" w:rsidRDefault="00D57B3D">
      <w:pPr>
        <w:pStyle w:val="EndnoteText"/>
      </w:pPr>
      <w:r>
        <w:rPr>
          <w:rStyle w:val="EndnoteReference"/>
        </w:rPr>
        <w:endnoteRef/>
      </w:r>
      <w:r>
        <w:t xml:space="preserve"> </w:t>
      </w:r>
      <w:r>
        <w:rPr>
          <w:i/>
          <w:iCs/>
        </w:rPr>
        <w:t>Barnwell v. Trivedi</w:t>
      </w:r>
      <w:r>
        <w:t>, 370 Ga. App. 522, 527 (2024).</w:t>
      </w:r>
    </w:p>
  </w:endnote>
  <w:endnote w:id="3">
    <w:p w14:paraId="324BF7B1" w14:textId="5EA70C6D" w:rsidR="00D57B3D" w:rsidRPr="00D57B3D" w:rsidRDefault="00D57B3D">
      <w:pPr>
        <w:pStyle w:val="EndnoteText"/>
      </w:pPr>
      <w:r>
        <w:rPr>
          <w:rStyle w:val="EndnoteReference"/>
        </w:rPr>
        <w:endnoteRef/>
      </w:r>
      <w:r>
        <w:t xml:space="preserve"> </w:t>
      </w:r>
      <w:r>
        <w:rPr>
          <w:i/>
          <w:iCs/>
        </w:rPr>
        <w:t>Legacy Academy, Inc. v. Doles-Smith Enterprises, Inc.</w:t>
      </w:r>
      <w:r>
        <w:t>, 337 Ga. App. 575, 584 (2016).</w:t>
      </w:r>
    </w:p>
  </w:endnote>
  <w:endnote w:id="4">
    <w:p w14:paraId="5524EC60" w14:textId="3AD999BE" w:rsidR="003722FF" w:rsidRPr="003722FF" w:rsidRDefault="003722FF">
      <w:pPr>
        <w:pStyle w:val="EndnoteText"/>
      </w:pPr>
      <w:r>
        <w:rPr>
          <w:rStyle w:val="EndnoteReference"/>
        </w:rPr>
        <w:endnoteRef/>
      </w:r>
      <w:r>
        <w:t xml:space="preserve"> </w:t>
      </w:r>
      <w:r>
        <w:rPr>
          <w:i/>
          <w:iCs/>
        </w:rPr>
        <w:t>Bellomo v. Tech Mahindra (Americas), Inc.</w:t>
      </w:r>
      <w:r>
        <w:t>, 374 Ga. App. 199, 201 (2025).</w:t>
      </w:r>
    </w:p>
  </w:endnote>
  <w:endnote w:id="5">
    <w:p w14:paraId="3BD285C0" w14:textId="299D5E72" w:rsidR="003722FF" w:rsidRPr="003722FF" w:rsidRDefault="003722FF">
      <w:pPr>
        <w:pStyle w:val="EndnoteText"/>
      </w:pPr>
      <w:r>
        <w:rPr>
          <w:rStyle w:val="EndnoteReference"/>
        </w:rPr>
        <w:endnoteRef/>
      </w:r>
      <w:r>
        <w:t xml:space="preserve"> Id., at 201.</w:t>
      </w:r>
    </w:p>
  </w:endnote>
  <w:endnote w:id="6">
    <w:p w14:paraId="6CB9A11E" w14:textId="34CDBC83" w:rsidR="00C45BF3" w:rsidRDefault="00C45BF3">
      <w:pPr>
        <w:pStyle w:val="EndnoteText"/>
      </w:pPr>
      <w:r>
        <w:rPr>
          <w:rStyle w:val="EndnoteReference"/>
        </w:rPr>
        <w:endnoteRef/>
      </w:r>
      <w:r>
        <w:t xml:space="preserve"> Id., at 201-202.</w:t>
      </w:r>
    </w:p>
  </w:endnote>
  <w:endnote w:id="7">
    <w:p w14:paraId="082294D0" w14:textId="54B6679A" w:rsidR="00C45BF3" w:rsidRDefault="00C45BF3">
      <w:pPr>
        <w:pStyle w:val="EndnoteText"/>
      </w:pPr>
      <w:r>
        <w:rPr>
          <w:rStyle w:val="EndnoteReference"/>
        </w:rPr>
        <w:endnoteRef/>
      </w:r>
      <w:r>
        <w:t xml:space="preserve"> Id., at 202.</w:t>
      </w:r>
    </w:p>
  </w:endnote>
  <w:endnote w:id="8">
    <w:p w14:paraId="0A25F216" w14:textId="15C151C8" w:rsidR="00C45BF3" w:rsidRDefault="00C45BF3">
      <w:pPr>
        <w:pStyle w:val="EndnoteText"/>
      </w:pPr>
      <w:r>
        <w:rPr>
          <w:rStyle w:val="EndnoteReference"/>
        </w:rPr>
        <w:endnoteRef/>
      </w:r>
      <w:r>
        <w:t xml:space="preserve"> Id., at 204.</w:t>
      </w:r>
    </w:p>
  </w:endnote>
  <w:endnote w:id="9">
    <w:p w14:paraId="40736F92" w14:textId="5ACC83EF" w:rsidR="00C45BF3" w:rsidRDefault="00C45BF3">
      <w:pPr>
        <w:pStyle w:val="EndnoteText"/>
      </w:pPr>
      <w:r>
        <w:rPr>
          <w:rStyle w:val="EndnoteReference"/>
        </w:rPr>
        <w:endnoteRef/>
      </w:r>
      <w:r>
        <w:t xml:space="preserve"> Id., at 204.</w:t>
      </w:r>
    </w:p>
  </w:endnote>
  <w:endnote w:id="10">
    <w:p w14:paraId="11A61E30" w14:textId="7350AE0C" w:rsidR="00AB2846" w:rsidRPr="00AB2846" w:rsidRDefault="00AB2846">
      <w:pPr>
        <w:pStyle w:val="EndnoteText"/>
      </w:pPr>
      <w:r>
        <w:rPr>
          <w:rStyle w:val="EndnoteReference"/>
        </w:rPr>
        <w:endnoteRef/>
      </w:r>
      <w:r>
        <w:t xml:space="preserve"> </w:t>
      </w:r>
      <w:r>
        <w:rPr>
          <w:i/>
          <w:iCs/>
        </w:rPr>
        <w:t>Carr v. Yim</w:t>
      </w:r>
      <w:r>
        <w:t>, 369 Ga. App. 389 (2023).</w:t>
      </w:r>
    </w:p>
  </w:endnote>
  <w:endnote w:id="11">
    <w:p w14:paraId="5B2BECA1" w14:textId="597B9AEB" w:rsidR="006151AC" w:rsidRPr="007744F5" w:rsidRDefault="006151AC">
      <w:pPr>
        <w:pStyle w:val="EndnoteText"/>
      </w:pPr>
      <w:r>
        <w:rPr>
          <w:rStyle w:val="EndnoteReference"/>
        </w:rPr>
        <w:endnoteRef/>
      </w:r>
      <w:r>
        <w:t xml:space="preserve"> </w:t>
      </w:r>
      <w:r>
        <w:rPr>
          <w:i/>
          <w:iCs/>
        </w:rPr>
        <w:t>Eaddy v. Precision Franchising, LLC</w:t>
      </w:r>
      <w:r>
        <w:t>, 320 Ga. App, 667 (2013)</w:t>
      </w:r>
      <w:r w:rsidR="007744F5">
        <w:t xml:space="preserve">; </w:t>
      </w:r>
      <w:r w:rsidR="007744F5">
        <w:rPr>
          <w:i/>
          <w:iCs/>
        </w:rPr>
        <w:t>Bellomo v. Tech Mahindra (Americas), Inc.</w:t>
      </w:r>
      <w:r w:rsidR="007744F5">
        <w:t>, 374 Ga. App. 199, n. 3 (2025).</w:t>
      </w:r>
    </w:p>
  </w:endnote>
  <w:endnote w:id="12">
    <w:p w14:paraId="062BE4CD" w14:textId="181CEB4F" w:rsidR="00E84983" w:rsidRPr="00E84983" w:rsidRDefault="00E84983">
      <w:pPr>
        <w:pStyle w:val="EndnoteText"/>
      </w:pPr>
      <w:r>
        <w:rPr>
          <w:rStyle w:val="EndnoteReference"/>
        </w:rPr>
        <w:endnoteRef/>
      </w:r>
      <w:r>
        <w:t xml:space="preserve"> </w:t>
      </w:r>
      <w:r>
        <w:rPr>
          <w:i/>
          <w:iCs/>
        </w:rPr>
        <w:t>Bellomo</w:t>
      </w:r>
      <w:r>
        <w:t>, 374 Ga. App. at 207-208.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4B8" w14:textId="77777777" w:rsidR="00582336" w:rsidRDefault="00582336" w:rsidP="00582336">
    <w:pPr>
      <w:pStyle w:val="Footer"/>
      <w:jc w:val="center"/>
      <w:rPr>
        <w:rFonts w:ascii="Times New Roman" w:hAnsi="Times New Roman" w:cs="Times New Roman"/>
        <w:b/>
        <w:bCs/>
      </w:rPr>
    </w:pPr>
  </w:p>
  <w:p w14:paraId="0B0F07C6" w14:textId="5EF05537" w:rsidR="00582336" w:rsidRDefault="00526532" w:rsidP="00582336">
    <w:pPr>
      <w:pStyle w:val="Footer"/>
      <w:jc w:val="center"/>
      <w:rPr>
        <w:rFonts w:ascii="Times New Roman" w:hAnsi="Times New Roman" w:cs="Times New Roman"/>
        <w:b/>
        <w:bCs/>
      </w:rPr>
    </w:pPr>
    <w:r>
      <w:rPr>
        <w:rFonts w:ascii="Times New Roman" w:hAnsi="Times New Roman" w:cs="Times New Roman"/>
        <w:b/>
        <w:bCs/>
      </w:rPr>
      <w:t>The Current JQC</w:t>
    </w:r>
  </w:p>
  <w:p w14:paraId="6D286818" w14:textId="61EFF2A9" w:rsid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Recorded </w:t>
    </w:r>
    <w:r w:rsidR="00526532">
      <w:rPr>
        <w:rFonts w:ascii="Times New Roman" w:hAnsi="Times New Roman" w:cs="Times New Roman"/>
        <w:b/>
        <w:bCs/>
      </w:rPr>
      <w:t>10</w:t>
    </w:r>
    <w:r>
      <w:rPr>
        <w:rFonts w:ascii="Times New Roman" w:hAnsi="Times New Roman" w:cs="Times New Roman"/>
        <w:b/>
        <w:bCs/>
      </w:rPr>
      <w:t>/</w:t>
    </w:r>
    <w:r w:rsidR="00526532">
      <w:rPr>
        <w:rFonts w:ascii="Times New Roman" w:hAnsi="Times New Roman" w:cs="Times New Roman"/>
        <w:b/>
        <w:bCs/>
      </w:rPr>
      <w:t>7</w:t>
    </w:r>
    <w:r>
      <w:rPr>
        <w:rFonts w:ascii="Times New Roman" w:hAnsi="Times New Roman" w:cs="Times New Roman"/>
        <w:b/>
        <w:bCs/>
      </w:rPr>
      <w:t>/2025</w:t>
    </w:r>
  </w:p>
  <w:p w14:paraId="06F0DB05" w14:textId="23D92A6C" w:rsidR="00582336" w:rsidRP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Pr>
        <w:rFonts w:ascii="Times New Roman" w:hAnsi="Times New Roman" w:cs="Times New Roman"/>
        <w:b/>
        <w:bCs/>
        <w:noProof/>
      </w:rPr>
      <w:t>1</w:t>
    </w:r>
    <w:r>
      <w:rPr>
        <w:rFonts w:ascii="Times New Roman" w:hAnsi="Times New Roman" w:cs="Times New Roman"/>
        <w:b/>
        <w:bCs/>
      </w:rPr>
      <w:fldChar w:fldCharType="end"/>
    </w:r>
    <w:r>
      <w:rPr>
        <w:rFonts w:ascii="Times New Roman" w:hAnsi="Times New Roman" w:cs="Times New Roman"/>
        <w:b/>
        <w:bCs/>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Pr>
        <w:rFonts w:ascii="Times New Roman" w:hAnsi="Times New Roman" w:cs="Times New Roman"/>
        <w:b/>
        <w:bCs/>
        <w:noProof/>
      </w:rPr>
      <w:t>12</w:t>
    </w:r>
    <w:r>
      <w:rPr>
        <w:rFonts w:ascii="Times New Roman" w:hAnsi="Times New Roman" w:cs="Times New Roman"/>
        <w:b/>
        <w:bCs/>
      </w:rPr>
      <w:fldChar w:fldCharType="end"/>
    </w:r>
  </w:p>
  <w:p w14:paraId="5F749182" w14:textId="77777777" w:rsidR="00582336" w:rsidRDefault="0058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36AE" w14:textId="77777777" w:rsidR="00960BD5" w:rsidRDefault="00960BD5" w:rsidP="00D57B3D">
      <w:pPr>
        <w:spacing w:after="0" w:line="240" w:lineRule="auto"/>
      </w:pPr>
      <w:r>
        <w:separator/>
      </w:r>
    </w:p>
  </w:footnote>
  <w:footnote w:type="continuationSeparator" w:id="0">
    <w:p w14:paraId="09EB4BAD" w14:textId="77777777" w:rsidR="00960BD5" w:rsidRDefault="00960BD5" w:rsidP="00D57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487600E"/>
    <w:multiLevelType w:val="hybridMultilevel"/>
    <w:tmpl w:val="945C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0EB9"/>
    <w:multiLevelType w:val="multilevel"/>
    <w:tmpl w:val="E0C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B4C52"/>
    <w:multiLevelType w:val="hybridMultilevel"/>
    <w:tmpl w:val="DE52877C"/>
    <w:lvl w:ilvl="0" w:tplc="32788A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6E0F00"/>
    <w:multiLevelType w:val="multilevel"/>
    <w:tmpl w:val="2AD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E070E"/>
    <w:multiLevelType w:val="hybridMultilevel"/>
    <w:tmpl w:val="A2924B26"/>
    <w:lvl w:ilvl="0" w:tplc="85F0CD88">
      <w:start w:val="1"/>
      <w:numFmt w:val="bullet"/>
      <w:lvlText w:val=""/>
      <w:lvlPicBulletId w:val="0"/>
      <w:lvlJc w:val="left"/>
      <w:pPr>
        <w:tabs>
          <w:tab w:val="num" w:pos="720"/>
        </w:tabs>
        <w:ind w:left="720" w:hanging="360"/>
      </w:pPr>
      <w:rPr>
        <w:rFonts w:ascii="Symbol" w:hAnsi="Symbol" w:hint="default"/>
      </w:rPr>
    </w:lvl>
    <w:lvl w:ilvl="1" w:tplc="6C6C0320" w:tentative="1">
      <w:start w:val="1"/>
      <w:numFmt w:val="bullet"/>
      <w:lvlText w:val=""/>
      <w:lvlJc w:val="left"/>
      <w:pPr>
        <w:tabs>
          <w:tab w:val="num" w:pos="1440"/>
        </w:tabs>
        <w:ind w:left="1440" w:hanging="360"/>
      </w:pPr>
      <w:rPr>
        <w:rFonts w:ascii="Symbol" w:hAnsi="Symbol" w:hint="default"/>
      </w:rPr>
    </w:lvl>
    <w:lvl w:ilvl="2" w:tplc="2850CCB6" w:tentative="1">
      <w:start w:val="1"/>
      <w:numFmt w:val="bullet"/>
      <w:lvlText w:val=""/>
      <w:lvlJc w:val="left"/>
      <w:pPr>
        <w:tabs>
          <w:tab w:val="num" w:pos="2160"/>
        </w:tabs>
        <w:ind w:left="2160" w:hanging="360"/>
      </w:pPr>
      <w:rPr>
        <w:rFonts w:ascii="Symbol" w:hAnsi="Symbol" w:hint="default"/>
      </w:rPr>
    </w:lvl>
    <w:lvl w:ilvl="3" w:tplc="1D1E910E" w:tentative="1">
      <w:start w:val="1"/>
      <w:numFmt w:val="bullet"/>
      <w:lvlText w:val=""/>
      <w:lvlJc w:val="left"/>
      <w:pPr>
        <w:tabs>
          <w:tab w:val="num" w:pos="2880"/>
        </w:tabs>
        <w:ind w:left="2880" w:hanging="360"/>
      </w:pPr>
      <w:rPr>
        <w:rFonts w:ascii="Symbol" w:hAnsi="Symbol" w:hint="default"/>
      </w:rPr>
    </w:lvl>
    <w:lvl w:ilvl="4" w:tplc="37AE71D4" w:tentative="1">
      <w:start w:val="1"/>
      <w:numFmt w:val="bullet"/>
      <w:lvlText w:val=""/>
      <w:lvlJc w:val="left"/>
      <w:pPr>
        <w:tabs>
          <w:tab w:val="num" w:pos="3600"/>
        </w:tabs>
        <w:ind w:left="3600" w:hanging="360"/>
      </w:pPr>
      <w:rPr>
        <w:rFonts w:ascii="Symbol" w:hAnsi="Symbol" w:hint="default"/>
      </w:rPr>
    </w:lvl>
    <w:lvl w:ilvl="5" w:tplc="38CC6C78" w:tentative="1">
      <w:start w:val="1"/>
      <w:numFmt w:val="bullet"/>
      <w:lvlText w:val=""/>
      <w:lvlJc w:val="left"/>
      <w:pPr>
        <w:tabs>
          <w:tab w:val="num" w:pos="4320"/>
        </w:tabs>
        <w:ind w:left="4320" w:hanging="360"/>
      </w:pPr>
      <w:rPr>
        <w:rFonts w:ascii="Symbol" w:hAnsi="Symbol" w:hint="default"/>
      </w:rPr>
    </w:lvl>
    <w:lvl w:ilvl="6" w:tplc="91CA8744" w:tentative="1">
      <w:start w:val="1"/>
      <w:numFmt w:val="bullet"/>
      <w:lvlText w:val=""/>
      <w:lvlJc w:val="left"/>
      <w:pPr>
        <w:tabs>
          <w:tab w:val="num" w:pos="5040"/>
        </w:tabs>
        <w:ind w:left="5040" w:hanging="360"/>
      </w:pPr>
      <w:rPr>
        <w:rFonts w:ascii="Symbol" w:hAnsi="Symbol" w:hint="default"/>
      </w:rPr>
    </w:lvl>
    <w:lvl w:ilvl="7" w:tplc="DBD87636" w:tentative="1">
      <w:start w:val="1"/>
      <w:numFmt w:val="bullet"/>
      <w:lvlText w:val=""/>
      <w:lvlJc w:val="left"/>
      <w:pPr>
        <w:tabs>
          <w:tab w:val="num" w:pos="5760"/>
        </w:tabs>
        <w:ind w:left="5760" w:hanging="360"/>
      </w:pPr>
      <w:rPr>
        <w:rFonts w:ascii="Symbol" w:hAnsi="Symbol" w:hint="default"/>
      </w:rPr>
    </w:lvl>
    <w:lvl w:ilvl="8" w:tplc="57663AE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8ED2257"/>
    <w:multiLevelType w:val="hybridMultilevel"/>
    <w:tmpl w:val="70F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02268"/>
    <w:multiLevelType w:val="multilevel"/>
    <w:tmpl w:val="433A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2876">
    <w:abstractNumId w:val="3"/>
  </w:num>
  <w:num w:numId="2" w16cid:durableId="1938753318">
    <w:abstractNumId w:val="6"/>
  </w:num>
  <w:num w:numId="3" w16cid:durableId="1800489666">
    <w:abstractNumId w:val="1"/>
  </w:num>
  <w:num w:numId="4" w16cid:durableId="1013456097">
    <w:abstractNumId w:val="2"/>
  </w:num>
  <w:num w:numId="5" w16cid:durableId="1821118669">
    <w:abstractNumId w:val="0"/>
  </w:num>
  <w:num w:numId="6" w16cid:durableId="1824200433">
    <w:abstractNumId w:val="4"/>
  </w:num>
  <w:num w:numId="7" w16cid:durableId="10781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368EC"/>
    <w:rsid w:val="000753C6"/>
    <w:rsid w:val="00085D8B"/>
    <w:rsid w:val="000C3539"/>
    <w:rsid w:val="000E2954"/>
    <w:rsid w:val="00280B28"/>
    <w:rsid w:val="002B349F"/>
    <w:rsid w:val="00335726"/>
    <w:rsid w:val="003722FF"/>
    <w:rsid w:val="003C7724"/>
    <w:rsid w:val="004D4DFC"/>
    <w:rsid w:val="00526532"/>
    <w:rsid w:val="00582336"/>
    <w:rsid w:val="006151AC"/>
    <w:rsid w:val="006A2D9A"/>
    <w:rsid w:val="007744F5"/>
    <w:rsid w:val="00810D9C"/>
    <w:rsid w:val="00827E5D"/>
    <w:rsid w:val="00937122"/>
    <w:rsid w:val="00940EB1"/>
    <w:rsid w:val="00960BD5"/>
    <w:rsid w:val="00991BCC"/>
    <w:rsid w:val="00A276B6"/>
    <w:rsid w:val="00AB2846"/>
    <w:rsid w:val="00AE0FA2"/>
    <w:rsid w:val="00B325EE"/>
    <w:rsid w:val="00BB40DC"/>
    <w:rsid w:val="00C45BF3"/>
    <w:rsid w:val="00C64FA5"/>
    <w:rsid w:val="00D17DC7"/>
    <w:rsid w:val="00D57B3D"/>
    <w:rsid w:val="00D86F47"/>
    <w:rsid w:val="00DD2C4A"/>
    <w:rsid w:val="00E315BE"/>
    <w:rsid w:val="00E84983"/>
    <w:rsid w:val="00EA2D97"/>
    <w:rsid w:val="00F5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ACC"/>
  <w15:chartTrackingRefBased/>
  <w15:docId w15:val="{C9E97A80-92A7-468E-8B27-CA0A7169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5D"/>
    <w:rPr>
      <w:rFonts w:eastAsiaTheme="majorEastAsia" w:cstheme="majorBidi"/>
      <w:color w:val="272727" w:themeColor="text1" w:themeTint="D8"/>
    </w:rPr>
  </w:style>
  <w:style w:type="paragraph" w:styleId="Title">
    <w:name w:val="Title"/>
    <w:basedOn w:val="Normal"/>
    <w:next w:val="Normal"/>
    <w:link w:val="TitleChar"/>
    <w:uiPriority w:val="10"/>
    <w:qFormat/>
    <w:rsid w:val="0082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5D"/>
    <w:pPr>
      <w:spacing w:before="160"/>
      <w:jc w:val="center"/>
    </w:pPr>
    <w:rPr>
      <w:i/>
      <w:iCs/>
      <w:color w:val="404040" w:themeColor="text1" w:themeTint="BF"/>
    </w:rPr>
  </w:style>
  <w:style w:type="character" w:customStyle="1" w:styleId="QuoteChar">
    <w:name w:val="Quote Char"/>
    <w:basedOn w:val="DefaultParagraphFont"/>
    <w:link w:val="Quote"/>
    <w:uiPriority w:val="29"/>
    <w:rsid w:val="00827E5D"/>
    <w:rPr>
      <w:i/>
      <w:iCs/>
      <w:color w:val="404040" w:themeColor="text1" w:themeTint="BF"/>
    </w:rPr>
  </w:style>
  <w:style w:type="paragraph" w:styleId="ListParagraph">
    <w:name w:val="List Paragraph"/>
    <w:basedOn w:val="Normal"/>
    <w:uiPriority w:val="34"/>
    <w:qFormat/>
    <w:rsid w:val="00827E5D"/>
    <w:pPr>
      <w:ind w:left="720"/>
      <w:contextualSpacing/>
    </w:pPr>
  </w:style>
  <w:style w:type="character" w:styleId="IntenseEmphasis">
    <w:name w:val="Intense Emphasis"/>
    <w:basedOn w:val="DefaultParagraphFont"/>
    <w:uiPriority w:val="21"/>
    <w:qFormat/>
    <w:rsid w:val="00827E5D"/>
    <w:rPr>
      <w:i/>
      <w:iCs/>
      <w:color w:val="0F4761" w:themeColor="accent1" w:themeShade="BF"/>
    </w:rPr>
  </w:style>
  <w:style w:type="paragraph" w:styleId="IntenseQuote">
    <w:name w:val="Intense Quote"/>
    <w:basedOn w:val="Normal"/>
    <w:next w:val="Normal"/>
    <w:link w:val="IntenseQuoteChar"/>
    <w:uiPriority w:val="30"/>
    <w:qFormat/>
    <w:rsid w:val="0082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5D"/>
    <w:rPr>
      <w:i/>
      <w:iCs/>
      <w:color w:val="0F4761" w:themeColor="accent1" w:themeShade="BF"/>
    </w:rPr>
  </w:style>
  <w:style w:type="character" w:styleId="IntenseReference">
    <w:name w:val="Intense Reference"/>
    <w:basedOn w:val="DefaultParagraphFont"/>
    <w:uiPriority w:val="32"/>
    <w:qFormat/>
    <w:rsid w:val="00827E5D"/>
    <w:rPr>
      <w:b/>
      <w:bCs/>
      <w:smallCaps/>
      <w:color w:val="0F4761" w:themeColor="accent1" w:themeShade="BF"/>
      <w:spacing w:val="5"/>
    </w:rPr>
  </w:style>
  <w:style w:type="paragraph" w:styleId="EndnoteText">
    <w:name w:val="endnote text"/>
    <w:basedOn w:val="Normal"/>
    <w:link w:val="EndnoteTextChar"/>
    <w:uiPriority w:val="99"/>
    <w:semiHidden/>
    <w:unhideWhenUsed/>
    <w:rsid w:val="00D57B3D"/>
    <w:pPr>
      <w:spacing w:after="120" w:line="240" w:lineRule="auto"/>
      <w:ind w:left="720" w:hanging="720"/>
    </w:pPr>
    <w:rPr>
      <w:rFonts w:ascii="Times New Roman" w:hAnsi="Times New Roman"/>
      <w:szCs w:val="20"/>
    </w:rPr>
  </w:style>
  <w:style w:type="character" w:customStyle="1" w:styleId="EndnoteTextChar">
    <w:name w:val="Endnote Text Char"/>
    <w:basedOn w:val="DefaultParagraphFont"/>
    <w:link w:val="EndnoteText"/>
    <w:uiPriority w:val="99"/>
    <w:semiHidden/>
    <w:rsid w:val="00D57B3D"/>
    <w:rPr>
      <w:rFonts w:ascii="Times New Roman" w:hAnsi="Times New Roman"/>
      <w:szCs w:val="20"/>
    </w:rPr>
  </w:style>
  <w:style w:type="character" w:styleId="EndnoteReference">
    <w:name w:val="endnote reference"/>
    <w:basedOn w:val="DefaultParagraphFont"/>
    <w:uiPriority w:val="99"/>
    <w:semiHidden/>
    <w:unhideWhenUsed/>
    <w:rsid w:val="00D57B3D"/>
    <w:rPr>
      <w:b/>
      <w:vertAlign w:val="superscript"/>
    </w:rPr>
  </w:style>
  <w:style w:type="paragraph" w:styleId="Header">
    <w:name w:val="header"/>
    <w:basedOn w:val="Normal"/>
    <w:link w:val="HeaderChar"/>
    <w:uiPriority w:val="99"/>
    <w:unhideWhenUsed/>
    <w:rsid w:val="0058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36"/>
  </w:style>
  <w:style w:type="paragraph" w:styleId="Footer">
    <w:name w:val="footer"/>
    <w:basedOn w:val="Normal"/>
    <w:link w:val="FooterChar"/>
    <w:uiPriority w:val="99"/>
    <w:unhideWhenUsed/>
    <w:rsid w:val="0058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7A95-D99A-4BA9-8B2B-49F156BF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 Kell</dc:creator>
  <cp:keywords/>
  <dc:description/>
  <cp:lastModifiedBy>Wade Padgett</cp:lastModifiedBy>
  <cp:revision>1</cp:revision>
  <dcterms:created xsi:type="dcterms:W3CDTF">2025-09-22T14:45:00Z</dcterms:created>
  <dcterms:modified xsi:type="dcterms:W3CDTF">2025-10-07T00:08:00Z</dcterms:modified>
</cp:coreProperties>
</file>