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AFCA" w14:textId="77777777" w:rsidR="004C4DA5" w:rsidRPr="008B7129" w:rsidRDefault="004C4DA5" w:rsidP="004C4DA5">
      <w:pPr>
        <w:jc w:val="center"/>
        <w:rPr>
          <w:rFonts w:ascii="Times New Roman" w:hAnsi="Times New Roman" w:cs="Times New Roman"/>
          <w:b/>
          <w:sz w:val="36"/>
          <w:szCs w:val="36"/>
          <w:u w:val="single"/>
        </w:rPr>
      </w:pPr>
      <w:r w:rsidRPr="008B7129">
        <w:rPr>
          <w:rFonts w:ascii="Times New Roman" w:hAnsi="Times New Roman" w:cs="Times New Roman"/>
          <w:b/>
          <w:sz w:val="36"/>
          <w:szCs w:val="36"/>
          <w:u w:val="single"/>
        </w:rPr>
        <w:t>YEAR’S SUPPORT</w:t>
      </w:r>
    </w:p>
    <w:p w14:paraId="09A10603" w14:textId="77777777" w:rsidR="00D667F9" w:rsidRDefault="00D667F9" w:rsidP="00D667F9">
      <w:pPr>
        <w:rPr>
          <w:rFonts w:ascii="Times New Roman" w:hAnsi="Times New Roman" w:cs="Times New Roman"/>
          <w:b/>
          <w:sz w:val="36"/>
          <w:szCs w:val="36"/>
        </w:rPr>
      </w:pPr>
    </w:p>
    <w:p w14:paraId="53DC3905" w14:textId="18EF86A3" w:rsidR="000B51E8" w:rsidRPr="000B51E8" w:rsidRDefault="000B51E8" w:rsidP="004721AB">
      <w:pPr>
        <w:spacing w:after="240" w:line="48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YEAR’S SUPPORT-GENERALLY</w:t>
      </w:r>
    </w:p>
    <w:p w14:paraId="2A3803D5" w14:textId="0357A186" w:rsidR="00D667F9" w:rsidRDefault="004C4DA5" w:rsidP="008B7129">
      <w:pPr>
        <w:pStyle w:val="ListParagraph"/>
        <w:numPr>
          <w:ilvl w:val="0"/>
          <w:numId w:val="2"/>
        </w:numPr>
        <w:spacing w:after="240"/>
        <w:contextualSpacing w:val="0"/>
        <w:rPr>
          <w:rFonts w:cs="Times New Roman"/>
          <w:szCs w:val="32"/>
        </w:rPr>
      </w:pPr>
      <w:r w:rsidRPr="00D667F9">
        <w:rPr>
          <w:rFonts w:cs="Times New Roman"/>
          <w:szCs w:val="32"/>
        </w:rPr>
        <w:t>Year’s Support is designed to provide maintenance and support from the estate of the decedent for the surviving spouse and any minor children.</w:t>
      </w:r>
    </w:p>
    <w:p w14:paraId="6B6AC483" w14:textId="47BD2A1B" w:rsidR="004C4DA5" w:rsidRPr="00E43CE2" w:rsidRDefault="004C4DA5" w:rsidP="008B7129">
      <w:pPr>
        <w:pStyle w:val="ListParagraph"/>
        <w:numPr>
          <w:ilvl w:val="0"/>
          <w:numId w:val="2"/>
        </w:numPr>
        <w:spacing w:after="240"/>
        <w:contextualSpacing w:val="0"/>
        <w:rPr>
          <w:rFonts w:cs="Times New Roman"/>
        </w:rPr>
      </w:pPr>
      <w:r w:rsidRPr="00E43CE2">
        <w:rPr>
          <w:rFonts w:cs="Times New Roman"/>
          <w:szCs w:val="32"/>
        </w:rPr>
        <w:t>Purpose</w:t>
      </w:r>
      <w:r w:rsidRPr="00E43CE2">
        <w:rPr>
          <w:rFonts w:cs="Times New Roman"/>
        </w:rPr>
        <w:t xml:space="preserve"> is to put the surviving spouse and minor children at the front of the line to receive property from the estate</w:t>
      </w:r>
    </w:p>
    <w:p w14:paraId="3134B85C" w14:textId="04530217" w:rsidR="004C4DA5" w:rsidRPr="00E43CE2" w:rsidRDefault="004C4DA5" w:rsidP="008B7129">
      <w:pPr>
        <w:pStyle w:val="ListParagraph"/>
        <w:numPr>
          <w:ilvl w:val="0"/>
          <w:numId w:val="2"/>
        </w:numPr>
        <w:spacing w:after="240"/>
        <w:contextualSpacing w:val="0"/>
        <w:rPr>
          <w:rFonts w:cs="Times New Roman"/>
        </w:rPr>
      </w:pPr>
      <w:r w:rsidRPr="00E43CE2">
        <w:rPr>
          <w:rFonts w:cs="Times New Roman"/>
        </w:rPr>
        <w:t xml:space="preserve">Such an award become a </w:t>
      </w:r>
      <w:r w:rsidRPr="00E43CE2">
        <w:rPr>
          <w:rFonts w:cs="Times New Roman"/>
          <w:u w:val="single"/>
        </w:rPr>
        <w:t>debt of the estate</w:t>
      </w:r>
      <w:r w:rsidRPr="00E43CE2">
        <w:rPr>
          <w:rFonts w:cs="Times New Roman"/>
        </w:rPr>
        <w:t xml:space="preserve"> of the </w:t>
      </w:r>
      <w:r w:rsidRPr="00E43CE2">
        <w:rPr>
          <w:rFonts w:cs="Times New Roman"/>
          <w:u w:val="single"/>
        </w:rPr>
        <w:t>highest priority</w:t>
      </w:r>
      <w:r w:rsidRPr="00E43CE2">
        <w:rPr>
          <w:rFonts w:cs="Times New Roman"/>
        </w:rPr>
        <w:t xml:space="preserve"> (</w:t>
      </w:r>
      <w:r w:rsidR="00E43CE2" w:rsidRPr="00E43CE2">
        <w:rPr>
          <w:rFonts w:cs="Times New Roman"/>
        </w:rPr>
        <w:t>§</w:t>
      </w:r>
      <w:r w:rsidRPr="00E43CE2">
        <w:rPr>
          <w:rFonts w:cs="Times New Roman"/>
        </w:rPr>
        <w:t>53-3-1(b))</w:t>
      </w:r>
    </w:p>
    <w:p w14:paraId="3C38A1C6" w14:textId="13C9C181" w:rsidR="004C4DA5" w:rsidRPr="00E43CE2" w:rsidRDefault="004C4DA5" w:rsidP="008B7129">
      <w:pPr>
        <w:pStyle w:val="ListParagraph"/>
        <w:numPr>
          <w:ilvl w:val="0"/>
          <w:numId w:val="2"/>
        </w:numPr>
        <w:spacing w:after="240"/>
        <w:contextualSpacing w:val="0"/>
        <w:rPr>
          <w:rFonts w:cs="Times New Roman"/>
        </w:rPr>
      </w:pPr>
      <w:r w:rsidRPr="00E43CE2">
        <w:rPr>
          <w:rFonts w:cs="Times New Roman"/>
        </w:rPr>
        <w:t>Petition must be filed within 2 years of the date of death</w:t>
      </w:r>
    </w:p>
    <w:p w14:paraId="7F12D838" w14:textId="47CD862C" w:rsidR="00080356" w:rsidRPr="00E43CE2" w:rsidRDefault="004C4DA5" w:rsidP="008B7129">
      <w:pPr>
        <w:pStyle w:val="ListParagraph"/>
        <w:numPr>
          <w:ilvl w:val="0"/>
          <w:numId w:val="2"/>
        </w:numPr>
        <w:spacing w:after="240"/>
        <w:contextualSpacing w:val="0"/>
        <w:rPr>
          <w:rFonts w:cs="Times New Roman"/>
        </w:rPr>
      </w:pPr>
      <w:r w:rsidRPr="00E43CE2">
        <w:rPr>
          <w:rFonts w:cs="Times New Roman"/>
        </w:rPr>
        <w:t>Spouse must be alive and not have remarried and children must still be minors at the time of filing of Petition</w:t>
      </w:r>
    </w:p>
    <w:p w14:paraId="10FDD475" w14:textId="6BAA83AC" w:rsidR="00080356" w:rsidRDefault="00080356" w:rsidP="008B7129">
      <w:pPr>
        <w:pStyle w:val="ListParagraph"/>
        <w:numPr>
          <w:ilvl w:val="1"/>
          <w:numId w:val="2"/>
        </w:numPr>
        <w:spacing w:after="240"/>
        <w:contextualSpacing w:val="0"/>
        <w:rPr>
          <w:rFonts w:cs="Times New Roman"/>
        </w:rPr>
      </w:pPr>
      <w:r w:rsidRPr="008B7129">
        <w:rPr>
          <w:rFonts w:cs="Times New Roman"/>
          <w:b/>
          <w:bCs/>
        </w:rPr>
        <w:t>Dependent</w:t>
      </w:r>
      <w:r>
        <w:rPr>
          <w:rFonts w:cs="Times New Roman"/>
        </w:rPr>
        <w:t xml:space="preserve"> – not having turned 18 or married prior to filing of </w:t>
      </w:r>
      <w:r w:rsidR="00E43CE2">
        <w:rPr>
          <w:rFonts w:cs="Times New Roman"/>
        </w:rPr>
        <w:t>petition</w:t>
      </w:r>
    </w:p>
    <w:p w14:paraId="74CC4692" w14:textId="77777777" w:rsidR="00080356" w:rsidRDefault="00080356" w:rsidP="008B7129">
      <w:pPr>
        <w:pStyle w:val="ListParagraph"/>
        <w:numPr>
          <w:ilvl w:val="1"/>
          <w:numId w:val="2"/>
        </w:numPr>
        <w:spacing w:after="240"/>
        <w:contextualSpacing w:val="0"/>
        <w:rPr>
          <w:rFonts w:cs="Times New Roman"/>
        </w:rPr>
      </w:pPr>
      <w:r>
        <w:rPr>
          <w:rFonts w:cs="Times New Roman"/>
        </w:rPr>
        <w:lastRenderedPageBreak/>
        <w:t>Adopted children treated same as biological children</w:t>
      </w:r>
    </w:p>
    <w:p w14:paraId="5BBC4679" w14:textId="77777777" w:rsidR="00254220" w:rsidRDefault="00080356" w:rsidP="008B7129">
      <w:pPr>
        <w:pStyle w:val="ListParagraph"/>
        <w:numPr>
          <w:ilvl w:val="1"/>
          <w:numId w:val="2"/>
        </w:numPr>
        <w:spacing w:after="240"/>
        <w:contextualSpacing w:val="0"/>
        <w:rPr>
          <w:rFonts w:cs="Times New Roman"/>
        </w:rPr>
      </w:pPr>
      <w:r>
        <w:rPr>
          <w:rFonts w:cs="Times New Roman"/>
        </w:rPr>
        <w:t>Children who are “virtually adopted” also entitled to Year’s Support</w:t>
      </w:r>
    </w:p>
    <w:p w14:paraId="5248E516" w14:textId="4621445A" w:rsidR="00080356" w:rsidRPr="00E43CE2" w:rsidRDefault="00080356" w:rsidP="008B7129">
      <w:pPr>
        <w:pStyle w:val="ListParagraph"/>
        <w:numPr>
          <w:ilvl w:val="1"/>
          <w:numId w:val="2"/>
        </w:numPr>
        <w:spacing w:after="240"/>
        <w:contextualSpacing w:val="0"/>
        <w:rPr>
          <w:rFonts w:cs="Times New Roman"/>
        </w:rPr>
      </w:pPr>
      <w:r>
        <w:rPr>
          <w:rFonts w:cs="Times New Roman"/>
        </w:rPr>
        <w:t>Born out of wedlock children are treated the same as “legitimate” children</w:t>
      </w:r>
    </w:p>
    <w:p w14:paraId="1EC9248D" w14:textId="48E50810" w:rsidR="00254220" w:rsidRDefault="00254220" w:rsidP="008B7129">
      <w:pPr>
        <w:pStyle w:val="ListParagraph"/>
        <w:numPr>
          <w:ilvl w:val="0"/>
          <w:numId w:val="2"/>
        </w:numPr>
        <w:spacing w:after="240"/>
        <w:contextualSpacing w:val="0"/>
        <w:rPr>
          <w:rFonts w:cs="Times New Roman"/>
        </w:rPr>
      </w:pPr>
      <w:r w:rsidRPr="00E43CE2">
        <w:rPr>
          <w:rFonts w:cs="Times New Roman"/>
        </w:rPr>
        <w:t>If decedent was a nonresident who owned property in Georgia, the petition may be filed in any county in which property is located</w:t>
      </w:r>
    </w:p>
    <w:p w14:paraId="15733298" w14:textId="75DF750B" w:rsidR="004721AB" w:rsidRPr="004721AB" w:rsidRDefault="0049412F" w:rsidP="004721AB">
      <w:pPr>
        <w:spacing w:after="240"/>
        <w:rPr>
          <w:rFonts w:cs="Times New Roman"/>
        </w:rPr>
      </w:pPr>
      <w:r>
        <w:pict w14:anchorId="43678829">
          <v:rect id="_x0000_i1025" style="width:0;height:1.5pt" o:hralign="center" o:hrstd="t" o:hr="t" fillcolor="#a0a0a0" stroked="f"/>
        </w:pict>
      </w:r>
    </w:p>
    <w:p w14:paraId="625040B5" w14:textId="6B798ADF" w:rsidR="000B51E8" w:rsidRPr="000B51E8" w:rsidRDefault="000B51E8" w:rsidP="004721AB">
      <w:pPr>
        <w:spacing w:after="240" w:line="48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WHAT MUST BE INCLUDED IN PETITION</w:t>
      </w:r>
    </w:p>
    <w:p w14:paraId="258BF417" w14:textId="77777777" w:rsidR="00DD553B" w:rsidRDefault="00254220" w:rsidP="008B7129">
      <w:pPr>
        <w:pStyle w:val="ListParagraph"/>
        <w:numPr>
          <w:ilvl w:val="0"/>
          <w:numId w:val="2"/>
        </w:numPr>
        <w:spacing w:after="240"/>
        <w:contextualSpacing w:val="0"/>
        <w:rPr>
          <w:rFonts w:cs="Times New Roman"/>
        </w:rPr>
      </w:pPr>
      <w:r w:rsidRPr="00DD553B">
        <w:rPr>
          <w:rFonts w:cs="Times New Roman"/>
        </w:rPr>
        <w:t xml:space="preserve">A “complete” </w:t>
      </w:r>
      <w:r w:rsidRPr="000B51E8">
        <w:rPr>
          <w:rFonts w:cs="Times New Roman"/>
          <w:b/>
          <w:bCs/>
        </w:rPr>
        <w:t>schedule of property</w:t>
      </w:r>
      <w:r w:rsidRPr="00DD553B">
        <w:rPr>
          <w:rFonts w:cs="Times New Roman"/>
        </w:rPr>
        <w:t xml:space="preserve"> sought to be set aside must be included</w:t>
      </w:r>
    </w:p>
    <w:p w14:paraId="31D647CC" w14:textId="58C82123" w:rsidR="00254220" w:rsidRPr="00E43CE2" w:rsidRDefault="00DD553B" w:rsidP="008B7129">
      <w:pPr>
        <w:pStyle w:val="ListParagraph"/>
        <w:numPr>
          <w:ilvl w:val="1"/>
          <w:numId w:val="2"/>
        </w:numPr>
        <w:spacing w:after="240"/>
        <w:contextualSpacing w:val="0"/>
        <w:rPr>
          <w:rFonts w:cs="Times New Roman"/>
        </w:rPr>
      </w:pPr>
      <w:r w:rsidRPr="00E43CE2">
        <w:rPr>
          <w:rFonts w:cs="Times New Roman"/>
        </w:rPr>
        <w:t>This means include VINs for vehicles; account numbers for bank accounts, brokerage accounts,</w:t>
      </w:r>
      <w:r w:rsidR="00080356" w:rsidRPr="00E43CE2">
        <w:rPr>
          <w:rFonts w:cs="Times New Roman"/>
        </w:rPr>
        <w:t xml:space="preserve"> </w:t>
      </w:r>
      <w:r w:rsidRPr="00E43CE2">
        <w:rPr>
          <w:rFonts w:cs="Times New Roman"/>
        </w:rPr>
        <w:t>etc</w:t>
      </w:r>
      <w:r w:rsidR="008B7129">
        <w:rPr>
          <w:rFonts w:cs="Times New Roman"/>
        </w:rPr>
        <w:t>.</w:t>
      </w:r>
      <w:r w:rsidRPr="00E43CE2">
        <w:rPr>
          <w:rFonts w:cs="Times New Roman"/>
        </w:rPr>
        <w:t xml:space="preserve">; </w:t>
      </w:r>
      <w:r w:rsidR="00080356" w:rsidRPr="00E43CE2">
        <w:rPr>
          <w:rFonts w:cs="Times New Roman"/>
        </w:rPr>
        <w:t>name of corporation, # of shares and certificate numbers for stocks</w:t>
      </w:r>
    </w:p>
    <w:p w14:paraId="2715B9B8" w14:textId="77777777" w:rsidR="00E43CE2" w:rsidRDefault="00254220" w:rsidP="008B7129">
      <w:pPr>
        <w:pStyle w:val="ListParagraph"/>
        <w:numPr>
          <w:ilvl w:val="0"/>
          <w:numId w:val="2"/>
        </w:numPr>
        <w:spacing w:after="240"/>
        <w:contextualSpacing w:val="0"/>
        <w:rPr>
          <w:rFonts w:cs="Times New Roman"/>
        </w:rPr>
      </w:pPr>
      <w:r>
        <w:rPr>
          <w:rFonts w:cs="Times New Roman"/>
        </w:rPr>
        <w:lastRenderedPageBreak/>
        <w:t xml:space="preserve">A </w:t>
      </w:r>
      <w:r w:rsidRPr="000B51E8">
        <w:rPr>
          <w:rFonts w:cs="Times New Roman"/>
          <w:b/>
          <w:bCs/>
        </w:rPr>
        <w:t>legal description of any real property</w:t>
      </w:r>
      <w:r>
        <w:rPr>
          <w:rFonts w:cs="Times New Roman"/>
        </w:rPr>
        <w:t xml:space="preserve"> sought to be set aside must be included </w:t>
      </w:r>
    </w:p>
    <w:p w14:paraId="7827907F" w14:textId="549FA185" w:rsidR="00DD553B" w:rsidRPr="00E43CE2" w:rsidRDefault="00254220" w:rsidP="008B7129">
      <w:pPr>
        <w:pStyle w:val="ListParagraph"/>
        <w:numPr>
          <w:ilvl w:val="1"/>
          <w:numId w:val="2"/>
        </w:numPr>
        <w:spacing w:after="240"/>
        <w:contextualSpacing w:val="0"/>
        <w:rPr>
          <w:rFonts w:cs="Times New Roman"/>
        </w:rPr>
      </w:pPr>
      <w:r w:rsidRPr="00E43CE2">
        <w:rPr>
          <w:rFonts w:cs="Times New Roman"/>
        </w:rPr>
        <w:t>Language used is “petition must fully and accurately describe the real property with a legal description that would be sufficient to pass title to the property under the laws of this state”</w:t>
      </w:r>
    </w:p>
    <w:p w14:paraId="501F4AA5" w14:textId="77777777" w:rsidR="002F6E04" w:rsidRDefault="00DD553B" w:rsidP="008B7129">
      <w:pPr>
        <w:pStyle w:val="ListParagraph"/>
        <w:numPr>
          <w:ilvl w:val="0"/>
          <w:numId w:val="2"/>
        </w:numPr>
        <w:spacing w:after="240"/>
        <w:contextualSpacing w:val="0"/>
        <w:rPr>
          <w:rFonts w:cs="Times New Roman"/>
        </w:rPr>
      </w:pPr>
      <w:r>
        <w:rPr>
          <w:rFonts w:cs="Times New Roman"/>
        </w:rPr>
        <w:t xml:space="preserve">Petition must state the </w:t>
      </w:r>
      <w:r w:rsidRPr="002F6E04">
        <w:rPr>
          <w:rFonts w:cs="Times New Roman"/>
          <w:b/>
          <w:bCs/>
        </w:rPr>
        <w:t>tax election</w:t>
      </w:r>
      <w:r>
        <w:rPr>
          <w:rFonts w:cs="Times New Roman"/>
        </w:rPr>
        <w:t xml:space="preserve"> Petitioner is seeking.  </w:t>
      </w:r>
    </w:p>
    <w:p w14:paraId="4766F24E" w14:textId="77777777" w:rsidR="002F6E04" w:rsidRDefault="00DD553B" w:rsidP="002F6E04">
      <w:pPr>
        <w:pStyle w:val="ListParagraph"/>
        <w:numPr>
          <w:ilvl w:val="1"/>
          <w:numId w:val="2"/>
        </w:numPr>
        <w:spacing w:after="240"/>
        <w:contextualSpacing w:val="0"/>
        <w:rPr>
          <w:rFonts w:cs="Times New Roman"/>
        </w:rPr>
      </w:pPr>
      <w:r>
        <w:rPr>
          <w:rFonts w:cs="Times New Roman"/>
        </w:rPr>
        <w:t xml:space="preserve">3 choices – real property taxes accrued in year of Decedent’s death; </w:t>
      </w:r>
    </w:p>
    <w:p w14:paraId="35CF75D5" w14:textId="77777777" w:rsidR="002F6E04" w:rsidRDefault="00DD553B" w:rsidP="002F6E04">
      <w:pPr>
        <w:pStyle w:val="ListParagraph"/>
        <w:numPr>
          <w:ilvl w:val="1"/>
          <w:numId w:val="2"/>
        </w:numPr>
        <w:spacing w:after="240"/>
        <w:contextualSpacing w:val="0"/>
        <w:rPr>
          <w:rFonts w:cs="Times New Roman"/>
        </w:rPr>
      </w:pPr>
      <w:r>
        <w:rPr>
          <w:rFonts w:cs="Times New Roman"/>
        </w:rPr>
        <w:t xml:space="preserve">real property taxes accrued in the year Petition is filed; or </w:t>
      </w:r>
    </w:p>
    <w:p w14:paraId="20DF4935" w14:textId="536A7320" w:rsidR="00DD553B" w:rsidRPr="00585358" w:rsidRDefault="00DD553B" w:rsidP="002F6E04">
      <w:pPr>
        <w:pStyle w:val="ListParagraph"/>
        <w:numPr>
          <w:ilvl w:val="1"/>
          <w:numId w:val="2"/>
        </w:numPr>
        <w:spacing w:after="240"/>
        <w:contextualSpacing w:val="0"/>
        <w:rPr>
          <w:rFonts w:cs="Times New Roman"/>
        </w:rPr>
      </w:pPr>
      <w:r>
        <w:rPr>
          <w:rFonts w:cs="Times New Roman"/>
        </w:rPr>
        <w:t xml:space="preserve">real property taxes accrued in the year following the filing of the Petition </w:t>
      </w:r>
      <w:r>
        <w:rPr>
          <w:rFonts w:cs="Times New Roman"/>
          <w:b/>
        </w:rPr>
        <w:t>if the Petition is filed in the year of Decedent’s death</w:t>
      </w:r>
    </w:p>
    <w:p w14:paraId="31082D7A" w14:textId="01549473" w:rsidR="00585358" w:rsidRDefault="00585358" w:rsidP="002F6E04">
      <w:pPr>
        <w:pStyle w:val="ListParagraph"/>
        <w:numPr>
          <w:ilvl w:val="0"/>
          <w:numId w:val="2"/>
        </w:numPr>
        <w:spacing w:after="240"/>
        <w:contextualSpacing w:val="0"/>
        <w:rPr>
          <w:rFonts w:cs="Times New Roman"/>
        </w:rPr>
      </w:pPr>
      <w:r>
        <w:rPr>
          <w:rFonts w:cs="Times New Roman"/>
        </w:rPr>
        <w:t>Taxes may be “waived” on the “homestead” of the decedent</w:t>
      </w:r>
      <w:r w:rsidR="00E5379A">
        <w:rPr>
          <w:rFonts w:cs="Times New Roman"/>
        </w:rPr>
        <w:t>, if said homestead is awarded as a year’s support.</w:t>
      </w:r>
      <w:r>
        <w:rPr>
          <w:rFonts w:cs="Times New Roman"/>
        </w:rPr>
        <w:t xml:space="preserve">  Homestead is defined in O.C.G.A. </w:t>
      </w:r>
      <w:r w:rsidR="002F6E04">
        <w:rPr>
          <w:rFonts w:cs="Times New Roman"/>
        </w:rPr>
        <w:t>§</w:t>
      </w:r>
      <w:r>
        <w:rPr>
          <w:rFonts w:cs="Times New Roman"/>
        </w:rPr>
        <w:t>48-5-40.</w:t>
      </w:r>
      <w:r w:rsidR="00E5379A">
        <w:rPr>
          <w:rFonts w:cs="Times New Roman"/>
        </w:rPr>
        <w:t xml:space="preserve"> If the homestead is not awarded, then the waiver </w:t>
      </w:r>
      <w:r w:rsidR="00E5379A">
        <w:rPr>
          <w:rFonts w:cs="Times New Roman"/>
        </w:rPr>
        <w:lastRenderedPageBreak/>
        <w:t>of taxes is applied to any and all other real property granted in the year’s support.</w:t>
      </w:r>
    </w:p>
    <w:p w14:paraId="2F520E3C" w14:textId="29A32508" w:rsidR="00DD553B" w:rsidRPr="00E43CE2" w:rsidRDefault="00E5379A" w:rsidP="008B7129">
      <w:pPr>
        <w:pStyle w:val="ListParagraph"/>
        <w:numPr>
          <w:ilvl w:val="1"/>
          <w:numId w:val="2"/>
        </w:numPr>
        <w:spacing w:after="240"/>
        <w:contextualSpacing w:val="0"/>
        <w:rPr>
          <w:rFonts w:cs="Times New Roman"/>
          <w:b/>
        </w:rPr>
      </w:pPr>
      <w:r w:rsidRPr="00E43CE2">
        <w:rPr>
          <w:rFonts w:cs="Times New Roman"/>
        </w:rPr>
        <w:t>This waiver covers all taxes or liens for taxes accrued against the property for all years prior to the year of death and the election listed above.</w:t>
      </w:r>
    </w:p>
    <w:p w14:paraId="5912ADD0" w14:textId="7FC88A65" w:rsidR="00080356" w:rsidRDefault="00DD553B" w:rsidP="008B7129">
      <w:pPr>
        <w:pStyle w:val="ListParagraph"/>
        <w:numPr>
          <w:ilvl w:val="0"/>
          <w:numId w:val="2"/>
        </w:numPr>
        <w:spacing w:after="240"/>
        <w:contextualSpacing w:val="0"/>
      </w:pPr>
      <w:r w:rsidRPr="00E43CE2">
        <w:rPr>
          <w:rFonts w:cs="Times New Roman"/>
        </w:rPr>
        <w:t>All “</w:t>
      </w:r>
      <w:r w:rsidRPr="00E43CE2">
        <w:rPr>
          <w:rFonts w:cs="Times New Roman"/>
          <w:b/>
        </w:rPr>
        <w:t>interested persons</w:t>
      </w:r>
      <w:r w:rsidRPr="00E43CE2">
        <w:rPr>
          <w:rFonts w:cs="Times New Roman"/>
        </w:rPr>
        <w:t xml:space="preserve">” must be listed – this </w:t>
      </w:r>
      <w:r w:rsidR="00A13067" w:rsidRPr="00E43CE2">
        <w:rPr>
          <w:rFonts w:cs="Times New Roman"/>
        </w:rPr>
        <w:t xml:space="preserve">includes </w:t>
      </w:r>
      <w:r w:rsidR="000871FE">
        <w:rPr>
          <w:rFonts w:cs="Times New Roman"/>
        </w:rPr>
        <w:t xml:space="preserve">decedent’s children, spouse, other heirs, </w:t>
      </w:r>
      <w:r w:rsidR="00A13067" w:rsidRPr="00E43CE2">
        <w:rPr>
          <w:rFonts w:cs="Times New Roman"/>
        </w:rPr>
        <w:t>personal representative of the</w:t>
      </w:r>
      <w:r w:rsidR="000871FE">
        <w:rPr>
          <w:rFonts w:cs="Times New Roman"/>
        </w:rPr>
        <w:t xml:space="preserve"> e</w:t>
      </w:r>
      <w:r w:rsidR="00A13067" w:rsidRPr="00E43CE2">
        <w:rPr>
          <w:rFonts w:cs="Times New Roman"/>
        </w:rPr>
        <w:t xml:space="preserve">state, </w:t>
      </w:r>
      <w:r w:rsidR="000871FE">
        <w:rPr>
          <w:rFonts w:cs="Times New Roman"/>
        </w:rPr>
        <w:t xml:space="preserve"> </w:t>
      </w:r>
      <w:r w:rsidR="00A13067" w:rsidRPr="00E43CE2">
        <w:rPr>
          <w:rFonts w:cs="Times New Roman"/>
        </w:rPr>
        <w:t xml:space="preserve">beneficiaries, creditors, and any others having a property right </w:t>
      </w:r>
      <w:r w:rsidR="000871FE">
        <w:rPr>
          <w:rFonts w:cs="Times New Roman"/>
        </w:rPr>
        <w:t xml:space="preserve">in </w:t>
      </w:r>
      <w:r w:rsidR="00A13067" w:rsidRPr="00E43CE2">
        <w:rPr>
          <w:rFonts w:cs="Times New Roman"/>
        </w:rPr>
        <w:t>or claim against the estate</w:t>
      </w:r>
    </w:p>
    <w:p w14:paraId="53BE731A" w14:textId="517D0CD5" w:rsidR="00A13067" w:rsidRDefault="00080356" w:rsidP="008B7129">
      <w:pPr>
        <w:pStyle w:val="ListParagraph"/>
        <w:numPr>
          <w:ilvl w:val="1"/>
          <w:numId w:val="2"/>
        </w:numPr>
        <w:spacing w:after="240"/>
        <w:contextualSpacing w:val="0"/>
      </w:pPr>
      <w:r w:rsidRPr="008B7129">
        <w:rPr>
          <w:rFonts w:cs="Times New Roman"/>
        </w:rPr>
        <w:t>This can be a problem for the court because we have no way of knowing if it fully completed – there are sometimes clues – ex. Decedent is John R. Smith, Sr. but there is no John R. Smith, Jr. listed as an heir.</w:t>
      </w:r>
    </w:p>
    <w:p w14:paraId="13D6FD21" w14:textId="42BB67D5" w:rsidR="00A13067" w:rsidRPr="000871FE" w:rsidRDefault="00A13067" w:rsidP="008B7129">
      <w:pPr>
        <w:pStyle w:val="ListParagraph"/>
        <w:numPr>
          <w:ilvl w:val="0"/>
          <w:numId w:val="2"/>
        </w:numPr>
        <w:spacing w:after="240"/>
        <w:contextualSpacing w:val="0"/>
        <w:rPr>
          <w:rFonts w:cs="Times New Roman"/>
          <w:u w:val="single"/>
        </w:rPr>
      </w:pPr>
      <w:r w:rsidRPr="00E43CE2">
        <w:rPr>
          <w:rFonts w:cs="Times New Roman"/>
        </w:rPr>
        <w:t>All Petitions must be published in the legal organ once a week for 4 weeks, all interested parties who have not acknowledged service must be mailed a copy of the Notice</w:t>
      </w:r>
      <w:r w:rsidR="000871FE">
        <w:rPr>
          <w:rFonts w:cs="Times New Roman"/>
        </w:rPr>
        <w:t xml:space="preserve">.  </w:t>
      </w:r>
      <w:r w:rsidR="000871FE" w:rsidRPr="000871FE">
        <w:rPr>
          <w:rFonts w:cs="Times New Roman"/>
          <w:u w:val="single"/>
        </w:rPr>
        <w:t xml:space="preserve">Currently notice is mailed not </w:t>
      </w:r>
      <w:r w:rsidR="000871FE" w:rsidRPr="000871FE">
        <w:rPr>
          <w:rFonts w:cs="Times New Roman"/>
          <w:u w:val="single"/>
        </w:rPr>
        <w:lastRenderedPageBreak/>
        <w:t>less than 21 days prior to the date and time shown in the citation but this may be changing to 30 days</w:t>
      </w:r>
      <w:r w:rsidR="004571D9">
        <w:rPr>
          <w:rFonts w:cs="Times New Roman"/>
          <w:u w:val="single"/>
        </w:rPr>
        <w:t xml:space="preserve"> in 2020-2021</w:t>
      </w:r>
      <w:r w:rsidR="000871FE" w:rsidRPr="000871FE">
        <w:rPr>
          <w:rFonts w:cs="Times New Roman"/>
          <w:u w:val="single"/>
        </w:rPr>
        <w:t>.</w:t>
      </w:r>
    </w:p>
    <w:p w14:paraId="1D0E8EC0" w14:textId="22DFE065" w:rsidR="00A13067" w:rsidRDefault="00A13067" w:rsidP="008B7129">
      <w:pPr>
        <w:pStyle w:val="ListParagraph"/>
        <w:numPr>
          <w:ilvl w:val="0"/>
          <w:numId w:val="2"/>
        </w:numPr>
        <w:spacing w:after="240"/>
        <w:contextualSpacing w:val="0"/>
      </w:pPr>
      <w:r w:rsidRPr="00E43CE2">
        <w:rPr>
          <w:rFonts w:cs="Times New Roman"/>
        </w:rPr>
        <w:t xml:space="preserve">The Tax Commissioner of any county </w:t>
      </w:r>
      <w:r w:rsidRPr="00E43CE2">
        <w:rPr>
          <w:rFonts w:cs="Times New Roman"/>
          <w:u w:val="single"/>
        </w:rPr>
        <w:t>in this state</w:t>
      </w:r>
      <w:r w:rsidRPr="00E43CE2">
        <w:rPr>
          <w:rFonts w:cs="Times New Roman"/>
        </w:rPr>
        <w:t xml:space="preserve"> in which real property is located must receive a copy of the Petition within </w:t>
      </w:r>
      <w:r w:rsidRPr="00E43CE2">
        <w:rPr>
          <w:rFonts w:cs="Times New Roman"/>
          <w:b/>
        </w:rPr>
        <w:t>5 days</w:t>
      </w:r>
      <w:r w:rsidRPr="00E43CE2">
        <w:rPr>
          <w:rFonts w:cs="Times New Roman"/>
        </w:rPr>
        <w:t xml:space="preserve"> of its filing</w:t>
      </w:r>
    </w:p>
    <w:p w14:paraId="270BBFF2" w14:textId="45622471" w:rsidR="00A13067" w:rsidRPr="008B7129" w:rsidRDefault="00A13067" w:rsidP="008B7129">
      <w:pPr>
        <w:pStyle w:val="ListParagraph"/>
        <w:numPr>
          <w:ilvl w:val="0"/>
          <w:numId w:val="2"/>
        </w:numPr>
        <w:spacing w:after="240"/>
        <w:contextualSpacing w:val="0"/>
      </w:pPr>
      <w:r w:rsidRPr="00E43CE2">
        <w:rPr>
          <w:rFonts w:cs="Times New Roman"/>
        </w:rPr>
        <w:t>If there are no objections to the Petition, the Probate Judge is to sign the order.  There is no need for a hearing.  The judge of the probate court has no authority to modify the request and must enter the order setting aside the property as applied for in the petition.</w:t>
      </w:r>
    </w:p>
    <w:p w14:paraId="611CD8EB" w14:textId="097D40DD" w:rsidR="008B7129" w:rsidRDefault="0049412F" w:rsidP="008B7129">
      <w:pPr>
        <w:spacing w:after="240"/>
      </w:pPr>
      <w:r>
        <w:pict w14:anchorId="252E2219">
          <v:rect id="_x0000_i1026" style="width:0;height:1.5pt" o:hralign="center" o:hrstd="t" o:hr="t" fillcolor="#a0a0a0" stroked="f"/>
        </w:pict>
      </w:r>
    </w:p>
    <w:p w14:paraId="7BA89E68" w14:textId="071C7E44" w:rsidR="004721AB" w:rsidRPr="004721AB" w:rsidRDefault="004721AB" w:rsidP="00673144">
      <w:pPr>
        <w:spacing w:after="240" w:line="480" w:lineRule="auto"/>
        <w:jc w:val="center"/>
        <w:rPr>
          <w:rFonts w:ascii="Times New Roman" w:hAnsi="Times New Roman" w:cs="Times New Roman"/>
          <w:b/>
          <w:bCs/>
          <w:sz w:val="32"/>
          <w:szCs w:val="32"/>
          <w:u w:val="single"/>
        </w:rPr>
      </w:pPr>
      <w:r w:rsidRPr="004721AB">
        <w:rPr>
          <w:rFonts w:ascii="Times New Roman" w:hAnsi="Times New Roman" w:cs="Times New Roman"/>
          <w:b/>
          <w:bCs/>
          <w:sz w:val="32"/>
          <w:szCs w:val="32"/>
          <w:u w:val="single"/>
        </w:rPr>
        <w:t>OBJECTIONS AND HEARING</w:t>
      </w:r>
    </w:p>
    <w:p w14:paraId="17862C16" w14:textId="0C56DEA9" w:rsidR="00B71D19" w:rsidRDefault="00B71D19" w:rsidP="008B7129">
      <w:pPr>
        <w:pStyle w:val="ListParagraph"/>
        <w:numPr>
          <w:ilvl w:val="0"/>
          <w:numId w:val="2"/>
        </w:numPr>
        <w:spacing w:after="240"/>
        <w:contextualSpacing w:val="0"/>
      </w:pPr>
      <w:r w:rsidRPr="00E43CE2">
        <w:rPr>
          <w:rFonts w:cs="Times New Roman"/>
          <w:b/>
        </w:rPr>
        <w:t>Objections to Year’s Support</w:t>
      </w:r>
      <w:r w:rsidRPr="00E43CE2">
        <w:rPr>
          <w:rFonts w:cs="Times New Roman"/>
        </w:rPr>
        <w:t xml:space="preserve">  - typically the objection is based on the amount of the award, but it could also be that the spouse or child is not the legal spouse or child of decedent, the spouse has remarried or the petition was not filed within 24 months of the date of death</w:t>
      </w:r>
    </w:p>
    <w:p w14:paraId="2D2C5EC8" w14:textId="7045BEBB" w:rsidR="009C461B" w:rsidRDefault="00B71D19" w:rsidP="008B7129">
      <w:pPr>
        <w:pStyle w:val="ListParagraph"/>
        <w:numPr>
          <w:ilvl w:val="0"/>
          <w:numId w:val="2"/>
        </w:numPr>
        <w:spacing w:after="240"/>
        <w:contextualSpacing w:val="0"/>
      </w:pPr>
      <w:r w:rsidRPr="00E43CE2">
        <w:rPr>
          <w:rFonts w:cs="Times New Roman"/>
        </w:rPr>
        <w:lastRenderedPageBreak/>
        <w:t>Petitioner has the burden of proving the amount requested is the amount necessary for a year’s support.</w:t>
      </w:r>
      <w:r w:rsidR="009C461B" w:rsidRPr="00E43CE2">
        <w:rPr>
          <w:rFonts w:cs="Times New Roman"/>
        </w:rPr>
        <w:t xml:space="preserve"> Petitioner also has the burden of proving the validity of the marriage or child of deceased, if those matters are at issue</w:t>
      </w:r>
    </w:p>
    <w:p w14:paraId="2D30532D" w14:textId="6B97DC7E" w:rsidR="009C461B" w:rsidRPr="00E43CE2" w:rsidRDefault="009C461B" w:rsidP="008B7129">
      <w:pPr>
        <w:pStyle w:val="ListParagraph"/>
        <w:numPr>
          <w:ilvl w:val="0"/>
          <w:numId w:val="2"/>
        </w:numPr>
        <w:spacing w:after="240"/>
        <w:contextualSpacing w:val="0"/>
        <w:rPr>
          <w:rFonts w:cs="Times New Roman"/>
        </w:rPr>
      </w:pPr>
      <w:r w:rsidRPr="00E43CE2">
        <w:rPr>
          <w:rFonts w:cs="Times New Roman"/>
        </w:rPr>
        <w:t>Typically, the amount of support requested is the issue.</w:t>
      </w:r>
    </w:p>
    <w:p w14:paraId="6D4579C4" w14:textId="44C2B24A" w:rsidR="009C461B" w:rsidRPr="00E43CE2" w:rsidRDefault="009C461B" w:rsidP="008B7129">
      <w:pPr>
        <w:pStyle w:val="ListParagraph"/>
        <w:numPr>
          <w:ilvl w:val="0"/>
          <w:numId w:val="2"/>
        </w:numPr>
        <w:spacing w:after="240"/>
        <w:contextualSpacing w:val="0"/>
        <w:rPr>
          <w:rFonts w:cs="Times New Roman"/>
        </w:rPr>
      </w:pPr>
      <w:r w:rsidRPr="00E43CE2">
        <w:rPr>
          <w:rFonts w:cs="Times New Roman"/>
        </w:rPr>
        <w:t>The final determination of the amount and nature of the property awarded will be made by the judge or jury (in Article 6 courts)</w:t>
      </w:r>
    </w:p>
    <w:p w14:paraId="1C8DD8CB" w14:textId="6FA96D12" w:rsidR="009C461B" w:rsidRPr="00E43CE2" w:rsidRDefault="009C461B" w:rsidP="008B7129">
      <w:pPr>
        <w:pStyle w:val="ListParagraph"/>
        <w:numPr>
          <w:ilvl w:val="0"/>
          <w:numId w:val="2"/>
        </w:numPr>
        <w:spacing w:after="240"/>
        <w:contextualSpacing w:val="0"/>
        <w:rPr>
          <w:rFonts w:cs="Times New Roman"/>
        </w:rPr>
      </w:pPr>
      <w:r w:rsidRPr="00E43CE2">
        <w:rPr>
          <w:rFonts w:cs="Times New Roman"/>
        </w:rPr>
        <w:t>The court must consider support available from sources other than year’s support, including but not limited to any separate estate and the income and earning capacity of the individual seeking the year’s support; the solvency of the estate; and other such relevant criteria as the court deems equitable and proper</w:t>
      </w:r>
    </w:p>
    <w:p w14:paraId="3099E48E" w14:textId="2F9AE603" w:rsidR="001D0A2B" w:rsidRPr="00E43CE2" w:rsidRDefault="009C461B" w:rsidP="008B7129">
      <w:pPr>
        <w:pStyle w:val="ListParagraph"/>
        <w:numPr>
          <w:ilvl w:val="1"/>
          <w:numId w:val="2"/>
        </w:numPr>
        <w:spacing w:after="240"/>
        <w:contextualSpacing w:val="0"/>
        <w:rPr>
          <w:rFonts w:cs="Times New Roman"/>
        </w:rPr>
      </w:pPr>
      <w:r w:rsidRPr="00E43CE2">
        <w:rPr>
          <w:rFonts w:cs="Times New Roman"/>
          <w:i/>
          <w:iCs/>
        </w:rPr>
        <w:t>Allgood v. Allgood</w:t>
      </w:r>
      <w:r w:rsidRPr="00E43CE2">
        <w:rPr>
          <w:rFonts w:cs="Times New Roman"/>
        </w:rPr>
        <w:t>, 263 Ga App. 177 (2003) wif</w:t>
      </w:r>
      <w:r w:rsidR="001D0A2B" w:rsidRPr="00E43CE2">
        <w:rPr>
          <w:rFonts w:cs="Times New Roman"/>
        </w:rPr>
        <w:t>e received $126,0</w:t>
      </w:r>
      <w:r w:rsidRPr="00E43CE2">
        <w:rPr>
          <w:rFonts w:cs="Times New Roman"/>
        </w:rPr>
        <w:t xml:space="preserve">00 outside of probate from her husband’s assets; she testified that her expenses during the year after his death were much less that this amount and that “didn’t go lacking for </w:t>
      </w:r>
      <w:r w:rsidRPr="00E43CE2">
        <w:rPr>
          <w:rFonts w:cs="Times New Roman"/>
        </w:rPr>
        <w:lastRenderedPageBreak/>
        <w:t>anything</w:t>
      </w:r>
      <w:r w:rsidR="007B7A49">
        <w:rPr>
          <w:rFonts w:cs="Times New Roman"/>
        </w:rPr>
        <w:t>.”</w:t>
      </w:r>
      <w:r w:rsidRPr="00E43CE2">
        <w:rPr>
          <w:rFonts w:cs="Times New Roman"/>
        </w:rPr>
        <w:t xml:space="preserve">  </w:t>
      </w:r>
      <w:r w:rsidR="001D0A2B" w:rsidRPr="00E43CE2">
        <w:rPr>
          <w:rFonts w:cs="Times New Roman"/>
        </w:rPr>
        <w:t>The probate court’s award of $91,500 as year’s support was reversed.</w:t>
      </w:r>
    </w:p>
    <w:p w14:paraId="6840D766" w14:textId="1195FF65" w:rsidR="001D0A2B" w:rsidRPr="00E43CE2" w:rsidRDefault="001D0A2B" w:rsidP="008B7129">
      <w:pPr>
        <w:pStyle w:val="ListParagraph"/>
        <w:numPr>
          <w:ilvl w:val="1"/>
          <w:numId w:val="2"/>
        </w:numPr>
        <w:spacing w:after="240"/>
        <w:contextualSpacing w:val="0"/>
        <w:rPr>
          <w:rFonts w:cs="Times New Roman"/>
        </w:rPr>
      </w:pPr>
      <w:r w:rsidRPr="00E43CE2">
        <w:rPr>
          <w:rFonts w:cs="Times New Roman"/>
          <w:i/>
          <w:iCs/>
        </w:rPr>
        <w:t>Hiers v. Estate of Hiers</w:t>
      </w:r>
      <w:r w:rsidRPr="00E43CE2">
        <w:rPr>
          <w:rFonts w:cs="Times New Roman"/>
        </w:rPr>
        <w:t>, 278 Ga app. 242 (2006) prenuptial agreement precluded award of year’s support.</w:t>
      </w:r>
    </w:p>
    <w:p w14:paraId="474A8701" w14:textId="13E2F759" w:rsidR="001D0A2B" w:rsidRPr="00E43CE2" w:rsidRDefault="001D0A2B" w:rsidP="008B7129">
      <w:pPr>
        <w:pStyle w:val="ListParagraph"/>
        <w:numPr>
          <w:ilvl w:val="1"/>
          <w:numId w:val="2"/>
        </w:numPr>
        <w:spacing w:after="240"/>
        <w:contextualSpacing w:val="0"/>
        <w:rPr>
          <w:rFonts w:cs="Times New Roman"/>
        </w:rPr>
      </w:pPr>
      <w:r w:rsidRPr="00E43CE2">
        <w:rPr>
          <w:rFonts w:cs="Times New Roman"/>
          <w:i/>
          <w:iCs/>
        </w:rPr>
        <w:t>In Re: Estate of Emmett Taylor Boyd</w:t>
      </w:r>
      <w:r w:rsidRPr="00E43CE2">
        <w:rPr>
          <w:rFonts w:cs="Times New Roman"/>
        </w:rPr>
        <w:t xml:space="preserve">, </w:t>
      </w:r>
      <w:r w:rsidR="00657523">
        <w:rPr>
          <w:rFonts w:cs="Times New Roman"/>
        </w:rPr>
        <w:t>340 Ga. App. 744 (2017)</w:t>
      </w:r>
      <w:r w:rsidRPr="00E43CE2">
        <w:rPr>
          <w:rFonts w:cs="Times New Roman"/>
        </w:rPr>
        <w:t>, the Court of Appeals found that wife waived her rights to a year’s support in a post-nuptial agreement, but remanded the case back to the trial court to determine if it was “made with knowledge of her rights and of the condition of the estate” as required by the Supreme Court.  The trial court order did not address this issue.</w:t>
      </w:r>
    </w:p>
    <w:p w14:paraId="1721A2DD" w14:textId="75DEDB51" w:rsidR="001F341C" w:rsidRDefault="001D0A2B" w:rsidP="008B7129">
      <w:pPr>
        <w:pStyle w:val="ListParagraph"/>
        <w:numPr>
          <w:ilvl w:val="1"/>
          <w:numId w:val="2"/>
        </w:numPr>
        <w:spacing w:after="240"/>
        <w:contextualSpacing w:val="0"/>
        <w:rPr>
          <w:rFonts w:cs="Times New Roman"/>
        </w:rPr>
      </w:pPr>
      <w:r w:rsidRPr="00E43CE2">
        <w:rPr>
          <w:rFonts w:cs="Times New Roman"/>
          <w:i/>
          <w:iCs/>
        </w:rPr>
        <w:t>Holland v. Holland</w:t>
      </w:r>
      <w:r w:rsidRPr="00E43CE2">
        <w:rPr>
          <w:rFonts w:cs="Times New Roman"/>
        </w:rPr>
        <w:t>, 267 Ga. App. 251 (2004), a year’s support award is not intended to support the spouse for many years to come.  Such an award is intended to protect a surviving spouse “from a reduction in their standard of living while the estate is being settle.”</w:t>
      </w:r>
    </w:p>
    <w:p w14:paraId="0190A226" w14:textId="0777E6DD" w:rsidR="008B7129" w:rsidRPr="008B7129" w:rsidRDefault="0049412F" w:rsidP="008B7129">
      <w:pPr>
        <w:spacing w:after="240"/>
        <w:rPr>
          <w:rFonts w:cs="Times New Roman"/>
        </w:rPr>
      </w:pPr>
      <w:r>
        <w:pict w14:anchorId="2EFBA865">
          <v:rect id="_x0000_i1027" style="width:0;height:1.5pt" o:hralign="center" o:hrstd="t" o:hr="t" fillcolor="#a0a0a0" stroked="f"/>
        </w:pict>
      </w:r>
    </w:p>
    <w:p w14:paraId="0861AEFD" w14:textId="77777777" w:rsidR="007B7A49" w:rsidRDefault="007B7A49" w:rsidP="00673144">
      <w:pPr>
        <w:spacing w:after="240" w:line="480" w:lineRule="auto"/>
        <w:jc w:val="center"/>
        <w:rPr>
          <w:rFonts w:ascii="Times New Roman" w:hAnsi="Times New Roman" w:cs="Times New Roman"/>
          <w:b/>
          <w:bCs/>
          <w:sz w:val="32"/>
          <w:szCs w:val="32"/>
          <w:u w:val="single"/>
        </w:rPr>
      </w:pPr>
      <w:bookmarkStart w:id="0" w:name="_GoBack"/>
      <w:bookmarkEnd w:id="0"/>
    </w:p>
    <w:p w14:paraId="268BEA59" w14:textId="0838DC22" w:rsidR="001F341C" w:rsidRPr="004721AB" w:rsidRDefault="00657523" w:rsidP="00673144">
      <w:pPr>
        <w:spacing w:after="240" w:line="480" w:lineRule="auto"/>
        <w:jc w:val="center"/>
        <w:rPr>
          <w:rFonts w:ascii="Times New Roman" w:hAnsi="Times New Roman" w:cs="Times New Roman"/>
          <w:b/>
          <w:bCs/>
          <w:sz w:val="32"/>
          <w:szCs w:val="32"/>
        </w:rPr>
      </w:pPr>
      <w:r w:rsidRPr="004721AB">
        <w:rPr>
          <w:rFonts w:ascii="Times New Roman" w:hAnsi="Times New Roman" w:cs="Times New Roman"/>
          <w:b/>
          <w:bCs/>
          <w:sz w:val="32"/>
          <w:szCs w:val="32"/>
          <w:u w:val="single"/>
        </w:rPr>
        <w:t>AWARDS OF REAL ESTATE</w:t>
      </w:r>
    </w:p>
    <w:p w14:paraId="60AA0FA1" w14:textId="77777777" w:rsidR="001F341C" w:rsidRDefault="001F341C" w:rsidP="004721AB">
      <w:pPr>
        <w:pStyle w:val="ListParagraph"/>
        <w:numPr>
          <w:ilvl w:val="0"/>
          <w:numId w:val="2"/>
        </w:numPr>
        <w:spacing w:after="240"/>
        <w:contextualSpacing w:val="0"/>
        <w:rPr>
          <w:rFonts w:cs="Times New Roman"/>
        </w:rPr>
      </w:pPr>
      <w:r>
        <w:rPr>
          <w:rFonts w:cs="Times New Roman"/>
        </w:rPr>
        <w:t>The probate court may award any type of interest in real property located in the state of Georgia.  Examples:  fee simple interest, a life estate, an estate of a certain number of years</w:t>
      </w:r>
    </w:p>
    <w:p w14:paraId="77267AC6" w14:textId="037F8358" w:rsidR="001F341C" w:rsidRDefault="001F341C" w:rsidP="004721AB">
      <w:pPr>
        <w:pStyle w:val="ListParagraph"/>
        <w:numPr>
          <w:ilvl w:val="0"/>
          <w:numId w:val="2"/>
        </w:numPr>
        <w:spacing w:after="240"/>
        <w:contextualSpacing w:val="0"/>
        <w:rPr>
          <w:rFonts w:cs="Times New Roman"/>
        </w:rPr>
      </w:pPr>
      <w:r>
        <w:rPr>
          <w:rFonts w:cs="Times New Roman"/>
        </w:rPr>
        <w:t xml:space="preserve">An award of real estate can only be made in real property in which decedent had an interest.  An attempted award of property no longer owned or never owned by the decedent is void. </w:t>
      </w:r>
      <w:r w:rsidRPr="008B7129">
        <w:rPr>
          <w:rFonts w:cs="Times New Roman"/>
          <w:i/>
          <w:iCs/>
        </w:rPr>
        <w:t>Kirksey v. Teachers’ Retirement System of Georgia</w:t>
      </w:r>
      <w:r w:rsidR="008B7129">
        <w:rPr>
          <w:rFonts w:cs="Times New Roman"/>
        </w:rPr>
        <w:t>,</w:t>
      </w:r>
      <w:r>
        <w:rPr>
          <w:rFonts w:cs="Times New Roman"/>
        </w:rPr>
        <w:t xml:space="preserve"> 250 Ga. 884 (1983)</w:t>
      </w:r>
    </w:p>
    <w:p w14:paraId="07DBC41F" w14:textId="42F4B6F4" w:rsidR="008B7129" w:rsidRDefault="00A7275B" w:rsidP="008B7129">
      <w:pPr>
        <w:pStyle w:val="ListParagraph"/>
        <w:numPr>
          <w:ilvl w:val="0"/>
          <w:numId w:val="2"/>
        </w:numPr>
        <w:spacing w:after="240"/>
        <w:contextualSpacing w:val="0"/>
        <w:rPr>
          <w:rFonts w:cs="Times New Roman"/>
        </w:rPr>
      </w:pPr>
      <w:r w:rsidRPr="008B7129">
        <w:rPr>
          <w:rFonts w:cs="Times New Roman"/>
        </w:rPr>
        <w:t>When property is awarded to spouse and minor children, it is held as tenants in common. It is intended for their joint support and maintenance. The surviving spouse is entitled to control the property until it is consumed or until there are no longer any minor children and the spouse dies.  The children who are co-owners retain their respective interest in the property even after reaching majority but cannot force a partition of the property.</w:t>
      </w:r>
    </w:p>
    <w:p w14:paraId="411B81F6" w14:textId="469C8E4B" w:rsidR="008B7129" w:rsidRPr="008B7129" w:rsidRDefault="0049412F" w:rsidP="008B7129">
      <w:pPr>
        <w:spacing w:after="240"/>
        <w:rPr>
          <w:rFonts w:cs="Times New Roman"/>
        </w:rPr>
      </w:pPr>
      <w:r>
        <w:lastRenderedPageBreak/>
        <w:pict w14:anchorId="52314122">
          <v:rect id="_x0000_i1028" style="width:0;height:1.5pt" o:hralign="center" o:hrstd="t" o:hr="t" fillcolor="#a0a0a0" stroked="f"/>
        </w:pict>
      </w:r>
    </w:p>
    <w:p w14:paraId="5AE4F9C4" w14:textId="639F027D" w:rsidR="004721AB" w:rsidRPr="004721AB" w:rsidRDefault="00657523" w:rsidP="00673144">
      <w:pPr>
        <w:spacing w:after="240" w:line="480" w:lineRule="auto"/>
        <w:jc w:val="center"/>
        <w:rPr>
          <w:rFonts w:ascii="Times New Roman" w:hAnsi="Times New Roman" w:cs="Times New Roman"/>
          <w:sz w:val="32"/>
          <w:szCs w:val="32"/>
        </w:rPr>
      </w:pPr>
      <w:r w:rsidRPr="004721AB">
        <w:rPr>
          <w:rFonts w:ascii="Times New Roman" w:hAnsi="Times New Roman" w:cs="Times New Roman"/>
          <w:b/>
          <w:bCs/>
          <w:sz w:val="32"/>
          <w:szCs w:val="32"/>
          <w:u w:val="single"/>
        </w:rPr>
        <w:t>CERTIFICATE OF AWARD OF REAL PROPERTY</w:t>
      </w:r>
    </w:p>
    <w:p w14:paraId="7AA2E712" w14:textId="4EA2E982" w:rsidR="008B7129" w:rsidRPr="008B7129" w:rsidRDefault="00A7275B" w:rsidP="008B7129">
      <w:pPr>
        <w:pStyle w:val="ListParagraph"/>
        <w:numPr>
          <w:ilvl w:val="0"/>
          <w:numId w:val="2"/>
        </w:numPr>
        <w:spacing w:after="240"/>
        <w:contextualSpacing w:val="0"/>
        <w:rPr>
          <w:rFonts w:cs="Times New Roman"/>
        </w:rPr>
      </w:pPr>
      <w:r w:rsidRPr="008B7129">
        <w:rPr>
          <w:rFonts w:cs="Times New Roman"/>
        </w:rPr>
        <w:t xml:space="preserve">The probate court must, within 30 days after granting such order, cause a certificate of the order be filed with the clerk of superior court in any county of this state where real property awarded is located. If the decedent owned property is several counties in Georgia that were awarded as year’s support, a separate certificate must be prepared for each </w:t>
      </w:r>
      <w:r w:rsidRPr="008B7129">
        <w:rPr>
          <w:rFonts w:cs="Times New Roman"/>
          <w:u w:val="single"/>
        </w:rPr>
        <w:t>county</w:t>
      </w:r>
      <w:r w:rsidR="00585358" w:rsidRPr="008B7129">
        <w:rPr>
          <w:rFonts w:cs="Times New Roman"/>
        </w:rPr>
        <w:t>. Either the attorney of the petitioner or the self-represented petitioner must also prepare the PT-16 form.  Said PT-61 should be presented to the court to be filed with the clerk of superior court.</w:t>
      </w:r>
    </w:p>
    <w:p w14:paraId="4E55312A" w14:textId="492E9768" w:rsidR="005776EC" w:rsidRDefault="00585358" w:rsidP="008B7129">
      <w:pPr>
        <w:pStyle w:val="ListParagraph"/>
        <w:numPr>
          <w:ilvl w:val="0"/>
          <w:numId w:val="2"/>
        </w:numPr>
        <w:spacing w:after="240"/>
        <w:contextualSpacing w:val="0"/>
        <w:rPr>
          <w:rFonts w:cs="Times New Roman"/>
        </w:rPr>
      </w:pPr>
      <w:r w:rsidRPr="008B7129">
        <w:rPr>
          <w:rFonts w:cs="Times New Roman"/>
        </w:rPr>
        <w:t xml:space="preserve">The year’s support award constitutes a first claim against the estate of the decedent.  It has priority over funeral expenses, costs of administration, expense of last illness, unpaid taxes due the State or the United States, judgments and liens and all other debts.  O.C.G.A. </w:t>
      </w:r>
      <w:r w:rsidR="008B7129">
        <w:rPr>
          <w:rFonts w:cs="Times New Roman"/>
        </w:rPr>
        <w:t>§</w:t>
      </w:r>
      <w:r w:rsidRPr="008B7129">
        <w:rPr>
          <w:rFonts w:cs="Times New Roman"/>
        </w:rPr>
        <w:t xml:space="preserve">53-3-1(b) and </w:t>
      </w:r>
      <w:r w:rsidR="008B7129">
        <w:rPr>
          <w:rFonts w:cs="Times New Roman"/>
        </w:rPr>
        <w:t>§</w:t>
      </w:r>
      <w:r w:rsidRPr="008B7129">
        <w:rPr>
          <w:rFonts w:cs="Times New Roman"/>
        </w:rPr>
        <w:t xml:space="preserve">53-7-40.  </w:t>
      </w:r>
      <w:r w:rsidRPr="008B7129">
        <w:rPr>
          <w:rFonts w:cs="Times New Roman"/>
          <w:b/>
        </w:rPr>
        <w:t>However</w:t>
      </w:r>
      <w:r w:rsidRPr="008B7129">
        <w:rPr>
          <w:rFonts w:cs="Times New Roman"/>
        </w:rPr>
        <w:t>, federal law will control whether taxes due the US are subordinate to an year’s support award.</w:t>
      </w:r>
    </w:p>
    <w:p w14:paraId="1B7346E1" w14:textId="35A4401B" w:rsidR="000B51E8" w:rsidRPr="000B51E8" w:rsidRDefault="0049412F" w:rsidP="000B51E8">
      <w:pPr>
        <w:spacing w:after="240"/>
        <w:rPr>
          <w:rFonts w:cs="Times New Roman"/>
        </w:rPr>
      </w:pPr>
      <w:r>
        <w:lastRenderedPageBreak/>
        <w:pict w14:anchorId="006B7641">
          <v:rect id="_x0000_i1029" style="width:0;height:1.5pt" o:hralign="center" o:hrstd="t" o:hr="t" fillcolor="#a0a0a0" stroked="f"/>
        </w:pict>
      </w:r>
    </w:p>
    <w:p w14:paraId="354BE9B5" w14:textId="738FF215" w:rsidR="00A13067" w:rsidRPr="004721AB" w:rsidRDefault="00657523" w:rsidP="00673144">
      <w:pPr>
        <w:spacing w:after="240" w:line="480" w:lineRule="auto"/>
        <w:jc w:val="center"/>
        <w:rPr>
          <w:rFonts w:ascii="Times New Roman" w:hAnsi="Times New Roman" w:cs="Times New Roman"/>
          <w:b/>
          <w:bCs/>
          <w:sz w:val="32"/>
          <w:szCs w:val="32"/>
        </w:rPr>
      </w:pPr>
      <w:r w:rsidRPr="004721AB">
        <w:rPr>
          <w:rFonts w:ascii="Times New Roman" w:hAnsi="Times New Roman" w:cs="Times New Roman"/>
          <w:b/>
          <w:bCs/>
          <w:sz w:val="32"/>
          <w:szCs w:val="32"/>
          <w:u w:val="single"/>
        </w:rPr>
        <w:t>SALE OR ENCUMBRANCE OF YEAR’S SUPPORT PROPERTY</w:t>
      </w:r>
    </w:p>
    <w:p w14:paraId="3C51893D" w14:textId="77777777" w:rsidR="005776EC" w:rsidRPr="005776EC" w:rsidRDefault="005776EC" w:rsidP="004721AB">
      <w:pPr>
        <w:pStyle w:val="ListParagraph"/>
        <w:numPr>
          <w:ilvl w:val="0"/>
          <w:numId w:val="2"/>
        </w:numPr>
        <w:spacing w:after="240"/>
        <w:contextualSpacing w:val="0"/>
      </w:pPr>
      <w:r>
        <w:rPr>
          <w:rFonts w:cs="Times New Roman"/>
        </w:rPr>
        <w:t>When property is set aside for spouse and minor children and property is sold or encumbered by the surviving spouse, it only conveys or encumbers the title and interest of the spouse and is binding and conclusive upon the spouse</w:t>
      </w:r>
    </w:p>
    <w:p w14:paraId="1F0AC3C0" w14:textId="77777777" w:rsidR="005776EC" w:rsidRPr="005776EC" w:rsidRDefault="005776EC" w:rsidP="004721AB">
      <w:pPr>
        <w:pStyle w:val="ListParagraph"/>
        <w:numPr>
          <w:ilvl w:val="0"/>
          <w:numId w:val="2"/>
        </w:numPr>
        <w:spacing w:after="240"/>
        <w:contextualSpacing w:val="0"/>
      </w:pPr>
      <w:r>
        <w:rPr>
          <w:rFonts w:cs="Times New Roman"/>
        </w:rPr>
        <w:t>The only time a conveyance or encumbrance is binding on the minor child or children is when it is approved by the probate court. (Standard Form 17)</w:t>
      </w:r>
    </w:p>
    <w:p w14:paraId="7B046760" w14:textId="1060F244" w:rsidR="005776EC" w:rsidRPr="000B51E8" w:rsidRDefault="005776EC" w:rsidP="004721AB">
      <w:pPr>
        <w:pStyle w:val="ListParagraph"/>
        <w:numPr>
          <w:ilvl w:val="0"/>
          <w:numId w:val="2"/>
        </w:numPr>
        <w:spacing w:after="240"/>
        <w:contextualSpacing w:val="0"/>
      </w:pPr>
      <w:r>
        <w:rPr>
          <w:rFonts w:cs="Times New Roman"/>
        </w:rPr>
        <w:t>A child who reaches the age of majority may join the surviving spouse in the execution of sale or encumbrance.</w:t>
      </w:r>
    </w:p>
    <w:p w14:paraId="723AE2DB" w14:textId="0811A144" w:rsidR="000B51E8" w:rsidRPr="005776EC" w:rsidRDefault="0049412F" w:rsidP="000B51E8">
      <w:pPr>
        <w:spacing w:after="240"/>
      </w:pPr>
      <w:r>
        <w:pict w14:anchorId="590DF8E0">
          <v:rect id="_x0000_i1030" style="width:0;height:1.5pt" o:hralign="center" o:hrstd="t" o:hr="t" fillcolor="#a0a0a0" stroked="f"/>
        </w:pict>
      </w:r>
    </w:p>
    <w:p w14:paraId="3594C6EC" w14:textId="77777777" w:rsidR="004571D9" w:rsidRDefault="004571D9">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70353EA4" w14:textId="4E19245C" w:rsidR="004721AB" w:rsidRPr="004721AB" w:rsidRDefault="00657523" w:rsidP="00673144">
      <w:pPr>
        <w:spacing w:after="240" w:line="480" w:lineRule="auto"/>
        <w:jc w:val="center"/>
        <w:rPr>
          <w:rFonts w:ascii="Times New Roman" w:hAnsi="Times New Roman" w:cs="Times New Roman"/>
          <w:sz w:val="32"/>
          <w:szCs w:val="32"/>
        </w:rPr>
      </w:pPr>
      <w:r w:rsidRPr="004721AB">
        <w:rPr>
          <w:rFonts w:ascii="Times New Roman" w:hAnsi="Times New Roman" w:cs="Times New Roman"/>
          <w:b/>
          <w:bCs/>
          <w:sz w:val="32"/>
          <w:szCs w:val="32"/>
          <w:u w:val="single"/>
        </w:rPr>
        <w:lastRenderedPageBreak/>
        <w:t>APPEAL</w:t>
      </w:r>
    </w:p>
    <w:p w14:paraId="084BF8D5" w14:textId="6792AF1B" w:rsidR="002F6E04" w:rsidRDefault="005776EC" w:rsidP="008B7129">
      <w:pPr>
        <w:pStyle w:val="ListParagraph"/>
        <w:numPr>
          <w:ilvl w:val="0"/>
          <w:numId w:val="2"/>
        </w:numPr>
        <w:spacing w:after="240"/>
        <w:contextualSpacing w:val="0"/>
        <w:rPr>
          <w:rFonts w:cs="Times New Roman"/>
        </w:rPr>
      </w:pPr>
      <w:r w:rsidRPr="000B51E8">
        <w:rPr>
          <w:rFonts w:cs="Times New Roman"/>
        </w:rPr>
        <w:t xml:space="preserve"> Year’s Support awards are appealable in the same manner as all other final judgments.  </w:t>
      </w:r>
      <w:r w:rsidR="002F6E04">
        <w:rPr>
          <w:rFonts w:cs="Times New Roman"/>
        </w:rPr>
        <w:t>(i.e. in non-Article 6 courts, de novo appeal to Superior Court)  (In Article 6 courts, appeal is to Court of Appeals)</w:t>
      </w:r>
    </w:p>
    <w:p w14:paraId="275D1292" w14:textId="6980F514" w:rsidR="00B91FA6" w:rsidRPr="00B91FA6" w:rsidRDefault="005776EC" w:rsidP="00B91FA6">
      <w:pPr>
        <w:pStyle w:val="ListParagraph"/>
        <w:numPr>
          <w:ilvl w:val="1"/>
          <w:numId w:val="2"/>
        </w:numPr>
        <w:spacing w:after="240"/>
        <w:contextualSpacing w:val="0"/>
        <w:rPr>
          <w:rFonts w:cs="Times New Roman"/>
        </w:rPr>
      </w:pPr>
      <w:r w:rsidRPr="000B51E8">
        <w:rPr>
          <w:rFonts w:cs="Times New Roman"/>
          <w:i/>
          <w:iCs/>
        </w:rPr>
        <w:t>Booker v. Booker</w:t>
      </w:r>
      <w:r w:rsidRPr="000B51E8">
        <w:rPr>
          <w:rFonts w:cs="Times New Roman"/>
        </w:rPr>
        <w:t>, 286 Ga App. 6 (2007) held that an appeal may only be filed by one have standing to do so.  Someone having a direct interest in the estate of the decedent and/or in the property awarded.</w:t>
      </w:r>
      <w:r w:rsidR="00B91FA6">
        <w:rPr>
          <w:rFonts w:cs="Times New Roman"/>
        </w:rPr>
        <w:t xml:space="preserve">  In this case, decedent’s mother did not have standing to appeal.</w:t>
      </w:r>
    </w:p>
    <w:p w14:paraId="4DCE62D4" w14:textId="7F4A3740" w:rsidR="00B14F8D" w:rsidRDefault="00B14F8D">
      <w:pPr>
        <w:rPr>
          <w:rFonts w:ascii="Times New Roman" w:hAnsi="Times New Roman" w:cs="Times New Roman"/>
        </w:rPr>
      </w:pPr>
      <w:r>
        <w:rPr>
          <w:rFonts w:ascii="Times New Roman" w:hAnsi="Times New Roman" w:cs="Times New Roman"/>
        </w:rPr>
        <w:br w:type="page"/>
      </w:r>
    </w:p>
    <w:p w14:paraId="5D3688DC" w14:textId="73BC98E4" w:rsidR="00254220" w:rsidRDefault="00B14F8D" w:rsidP="00B14F8D">
      <w:pPr>
        <w:spacing w:after="240"/>
        <w:jc w:val="center"/>
        <w:rPr>
          <w:rFonts w:ascii="Times New Roman" w:hAnsi="Times New Roman" w:cs="Times New Roman"/>
          <w:b/>
          <w:sz w:val="32"/>
          <w:szCs w:val="32"/>
          <w:u w:val="single"/>
        </w:rPr>
      </w:pPr>
      <w:r w:rsidRPr="00B14F8D">
        <w:rPr>
          <w:rFonts w:ascii="Times New Roman" w:hAnsi="Times New Roman" w:cs="Times New Roman"/>
          <w:b/>
          <w:sz w:val="32"/>
          <w:szCs w:val="32"/>
          <w:u w:val="single"/>
        </w:rPr>
        <w:lastRenderedPageBreak/>
        <w:t>AMENDMENTS</w:t>
      </w:r>
    </w:p>
    <w:p w14:paraId="4490BC06" w14:textId="53129E19" w:rsidR="00B14F8D" w:rsidRDefault="00B14F8D" w:rsidP="00B14F8D">
      <w:pPr>
        <w:spacing w:after="240"/>
        <w:rPr>
          <w:rFonts w:ascii="Times New Roman" w:hAnsi="Times New Roman" w:cs="Times New Roman"/>
        </w:rPr>
      </w:pPr>
    </w:p>
    <w:p w14:paraId="1CFECAE3" w14:textId="77777777" w:rsidR="002E243C" w:rsidRDefault="00B14F8D" w:rsidP="002E243C">
      <w:pPr>
        <w:pStyle w:val="ListParagraph"/>
        <w:numPr>
          <w:ilvl w:val="0"/>
          <w:numId w:val="2"/>
        </w:numPr>
        <w:spacing w:after="240"/>
        <w:contextualSpacing w:val="0"/>
        <w:rPr>
          <w:rFonts w:cs="Times New Roman"/>
          <w:szCs w:val="32"/>
        </w:rPr>
      </w:pPr>
      <w:r w:rsidRPr="002E243C">
        <w:rPr>
          <w:rFonts w:cs="Times New Roman"/>
        </w:rPr>
        <w:t>There</w:t>
      </w:r>
      <w:r w:rsidRPr="00B14F8D">
        <w:rPr>
          <w:rFonts w:cs="Times New Roman"/>
          <w:szCs w:val="32"/>
        </w:rPr>
        <w:t xml:space="preserve"> are no provisions on Chapter 3 of Title 53 allowing for an amendment.</w:t>
      </w:r>
      <w:r>
        <w:rPr>
          <w:rFonts w:cs="Times New Roman"/>
          <w:szCs w:val="32"/>
        </w:rPr>
        <w:t xml:space="preserve">  However, the situation arise quite oft</w:t>
      </w:r>
      <w:r w:rsidR="002E243C">
        <w:rPr>
          <w:rFonts w:cs="Times New Roman"/>
          <w:szCs w:val="32"/>
        </w:rPr>
        <w:t>en where something was left off.</w:t>
      </w:r>
    </w:p>
    <w:p w14:paraId="7C223713" w14:textId="4E11D3FF" w:rsidR="00B14F8D" w:rsidRPr="002E243C" w:rsidRDefault="00B14F8D" w:rsidP="00F32CDB">
      <w:pPr>
        <w:pStyle w:val="ListParagraph"/>
        <w:numPr>
          <w:ilvl w:val="1"/>
          <w:numId w:val="2"/>
        </w:numPr>
        <w:spacing w:after="240"/>
        <w:contextualSpacing w:val="0"/>
        <w:rPr>
          <w:rFonts w:cs="Times New Roman"/>
          <w:szCs w:val="32"/>
        </w:rPr>
      </w:pPr>
      <w:r w:rsidRPr="00F32CDB">
        <w:rPr>
          <w:rFonts w:cs="Times New Roman"/>
          <w:b/>
          <w:i/>
          <w:szCs w:val="32"/>
          <w:u w:val="single"/>
        </w:rPr>
        <w:t>Before</w:t>
      </w:r>
      <w:r w:rsidRPr="002E243C">
        <w:rPr>
          <w:rFonts w:cs="Times New Roman"/>
          <w:szCs w:val="32"/>
          <w:u w:val="single"/>
        </w:rPr>
        <w:t xml:space="preserve"> a final order is entered,</w:t>
      </w:r>
      <w:r w:rsidR="004E14D8" w:rsidRPr="002E243C">
        <w:rPr>
          <w:rFonts w:cs="Times New Roman"/>
          <w:szCs w:val="32"/>
        </w:rPr>
        <w:t xml:space="preserve"> a petition may be amended with new notice, etc.  </w:t>
      </w:r>
    </w:p>
    <w:p w14:paraId="1CAAFACE" w14:textId="48A56C75" w:rsidR="004E14D8" w:rsidRDefault="004E14D8" w:rsidP="0088651F">
      <w:pPr>
        <w:pStyle w:val="ListParagraph"/>
        <w:numPr>
          <w:ilvl w:val="0"/>
          <w:numId w:val="2"/>
        </w:numPr>
        <w:spacing w:after="240"/>
        <w:contextualSpacing w:val="0"/>
        <w:rPr>
          <w:rFonts w:cs="Times New Roman"/>
          <w:szCs w:val="32"/>
        </w:rPr>
      </w:pPr>
      <w:r w:rsidRPr="00F32CDB">
        <w:rPr>
          <w:rFonts w:cs="Times New Roman"/>
          <w:b/>
          <w:i/>
          <w:szCs w:val="32"/>
          <w:u w:val="single"/>
        </w:rPr>
        <w:t>After</w:t>
      </w:r>
      <w:r>
        <w:rPr>
          <w:rFonts w:cs="Times New Roman"/>
          <w:szCs w:val="32"/>
          <w:u w:val="single"/>
        </w:rPr>
        <w:t xml:space="preserve"> a final order is entered,</w:t>
      </w:r>
      <w:r>
        <w:rPr>
          <w:rFonts w:cs="Times New Roman"/>
          <w:szCs w:val="32"/>
        </w:rPr>
        <w:t xml:space="preserve"> it is less clear.  If it is still in the same term of court, the judgment can be set aside by motion of a party or on the court’s own motion.  Then a whole new petition would be processed with notice, publication, etc.</w:t>
      </w:r>
    </w:p>
    <w:p w14:paraId="0D3EA7DD" w14:textId="282A5720" w:rsidR="004E14D8" w:rsidRPr="004E14D8" w:rsidRDefault="004E14D8" w:rsidP="00F32CDB">
      <w:pPr>
        <w:pStyle w:val="ListParagraph"/>
        <w:numPr>
          <w:ilvl w:val="1"/>
          <w:numId w:val="2"/>
        </w:numPr>
        <w:spacing w:after="240"/>
        <w:contextualSpacing w:val="0"/>
        <w:rPr>
          <w:rFonts w:cs="Times New Roman"/>
          <w:szCs w:val="32"/>
        </w:rPr>
      </w:pPr>
      <w:r w:rsidRPr="0088651F">
        <w:rPr>
          <w:rFonts w:cs="Times New Roman"/>
          <w:szCs w:val="32"/>
          <w:u w:val="single"/>
        </w:rPr>
        <w:t>If</w:t>
      </w:r>
      <w:r>
        <w:rPr>
          <w:rFonts w:cs="Times New Roman"/>
          <w:szCs w:val="32"/>
        </w:rPr>
        <w:t xml:space="preserve"> it is outside the term of court, it is my opinion that it cannot be amended.</w:t>
      </w:r>
    </w:p>
    <w:sectPr w:rsidR="004E14D8" w:rsidRPr="004E14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790F" w14:textId="77777777" w:rsidR="0049412F" w:rsidRDefault="0049412F" w:rsidP="002F6E04">
      <w:pPr>
        <w:spacing w:after="0" w:line="240" w:lineRule="auto"/>
      </w:pPr>
      <w:r>
        <w:separator/>
      </w:r>
    </w:p>
  </w:endnote>
  <w:endnote w:type="continuationSeparator" w:id="0">
    <w:p w14:paraId="50F64A23" w14:textId="77777777" w:rsidR="0049412F" w:rsidRDefault="0049412F" w:rsidP="002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3F7F" w14:textId="77777777" w:rsidR="002F6E04" w:rsidRDefault="002F6E04" w:rsidP="008B2CBA">
    <w:pPr>
      <w:pStyle w:val="Footer"/>
      <w:jc w:val="center"/>
      <w:rPr>
        <w:b/>
        <w:sz w:val="20"/>
        <w:szCs w:val="20"/>
      </w:rPr>
    </w:pPr>
  </w:p>
  <w:p w14:paraId="727DB8D6" w14:textId="42A005DD" w:rsidR="002F6E04" w:rsidRPr="007B7A49" w:rsidRDefault="002F6E04" w:rsidP="008B2CBA">
    <w:pPr>
      <w:pStyle w:val="Footer"/>
      <w:jc w:val="center"/>
      <w:rPr>
        <w:rFonts w:ascii="Times New Roman" w:hAnsi="Times New Roman" w:cs="Times New Roman"/>
        <w:b/>
        <w:sz w:val="20"/>
        <w:szCs w:val="20"/>
      </w:rPr>
    </w:pPr>
    <w:r w:rsidRPr="007B7A49">
      <w:rPr>
        <w:rFonts w:ascii="Times New Roman" w:hAnsi="Times New Roman" w:cs="Times New Roman"/>
        <w:b/>
        <w:sz w:val="20"/>
        <w:szCs w:val="20"/>
      </w:rPr>
      <w:t>YEAR’S SUPPORT PODCAST NOTES</w:t>
    </w:r>
  </w:p>
  <w:p w14:paraId="100DC6A8" w14:textId="26869252" w:rsidR="002F6E04" w:rsidRPr="007B7A49" w:rsidRDefault="002F6E04" w:rsidP="008B2CBA">
    <w:pPr>
      <w:pStyle w:val="Footer"/>
      <w:jc w:val="center"/>
      <w:rPr>
        <w:rFonts w:ascii="Times New Roman" w:hAnsi="Times New Roman" w:cs="Times New Roman"/>
        <w:b/>
        <w:sz w:val="20"/>
        <w:szCs w:val="20"/>
      </w:rPr>
    </w:pPr>
    <w:r w:rsidRPr="007B7A49">
      <w:rPr>
        <w:rFonts w:ascii="Times New Roman" w:hAnsi="Times New Roman" w:cs="Times New Roman"/>
        <w:b/>
        <w:sz w:val="20"/>
        <w:szCs w:val="20"/>
      </w:rPr>
      <w:t>LAST UPDATED 11/3/2019</w:t>
    </w:r>
  </w:p>
  <w:p w14:paraId="5C28D171" w14:textId="1C39D921" w:rsidR="002F6E04" w:rsidRPr="007B7A49" w:rsidRDefault="002F6E04" w:rsidP="00367E4A">
    <w:pPr>
      <w:pStyle w:val="Footer"/>
      <w:jc w:val="center"/>
      <w:rPr>
        <w:rFonts w:ascii="Times New Roman" w:hAnsi="Times New Roman" w:cs="Times New Roman"/>
      </w:rPr>
    </w:pPr>
    <w:r w:rsidRPr="007B7A49">
      <w:rPr>
        <w:rFonts w:ascii="Times New Roman" w:hAnsi="Times New Roman" w:cs="Times New Roman"/>
        <w:b/>
        <w:sz w:val="20"/>
        <w:szCs w:val="20"/>
      </w:rPr>
      <w:t xml:space="preserve">PAGE </w:t>
    </w:r>
    <w:r w:rsidRPr="007B7A49">
      <w:rPr>
        <w:rFonts w:ascii="Times New Roman" w:hAnsi="Times New Roman" w:cs="Times New Roman"/>
        <w:b/>
        <w:sz w:val="20"/>
        <w:szCs w:val="20"/>
      </w:rPr>
      <w:fldChar w:fldCharType="begin"/>
    </w:r>
    <w:r w:rsidRPr="007B7A49">
      <w:rPr>
        <w:rFonts w:ascii="Times New Roman" w:hAnsi="Times New Roman" w:cs="Times New Roman"/>
        <w:b/>
        <w:sz w:val="20"/>
        <w:szCs w:val="20"/>
      </w:rPr>
      <w:instrText xml:space="preserve"> PAGE  \* Arabic  \* MERGEFORMAT </w:instrText>
    </w:r>
    <w:r w:rsidRPr="007B7A49">
      <w:rPr>
        <w:rFonts w:ascii="Times New Roman" w:hAnsi="Times New Roman" w:cs="Times New Roman"/>
        <w:b/>
        <w:sz w:val="20"/>
        <w:szCs w:val="20"/>
      </w:rPr>
      <w:fldChar w:fldCharType="separate"/>
    </w:r>
    <w:r w:rsidR="00F32CDB">
      <w:rPr>
        <w:rFonts w:ascii="Times New Roman" w:hAnsi="Times New Roman" w:cs="Times New Roman"/>
        <w:b/>
        <w:noProof/>
        <w:sz w:val="20"/>
        <w:szCs w:val="20"/>
      </w:rPr>
      <w:t>5</w:t>
    </w:r>
    <w:r w:rsidRPr="007B7A49">
      <w:rPr>
        <w:rFonts w:ascii="Times New Roman" w:hAnsi="Times New Roman" w:cs="Times New Roman"/>
        <w:b/>
        <w:sz w:val="20"/>
        <w:szCs w:val="20"/>
      </w:rPr>
      <w:fldChar w:fldCharType="end"/>
    </w:r>
    <w:r w:rsidRPr="007B7A49">
      <w:rPr>
        <w:rFonts w:ascii="Times New Roman" w:hAnsi="Times New Roman" w:cs="Times New Roman"/>
        <w:b/>
        <w:sz w:val="20"/>
        <w:szCs w:val="20"/>
      </w:rPr>
      <w:t xml:space="preserve"> OF </w:t>
    </w:r>
    <w:r w:rsidRPr="007B7A49">
      <w:rPr>
        <w:rFonts w:ascii="Times New Roman" w:hAnsi="Times New Roman" w:cs="Times New Roman"/>
        <w:b/>
        <w:sz w:val="20"/>
        <w:szCs w:val="20"/>
      </w:rPr>
      <w:fldChar w:fldCharType="begin"/>
    </w:r>
    <w:r w:rsidRPr="007B7A49">
      <w:rPr>
        <w:rFonts w:ascii="Times New Roman" w:hAnsi="Times New Roman" w:cs="Times New Roman"/>
        <w:b/>
        <w:sz w:val="20"/>
        <w:szCs w:val="20"/>
      </w:rPr>
      <w:instrText xml:space="preserve"> NUMPAGES  \* Arabic  \* MERGEFORMAT </w:instrText>
    </w:r>
    <w:r w:rsidRPr="007B7A49">
      <w:rPr>
        <w:rFonts w:ascii="Times New Roman" w:hAnsi="Times New Roman" w:cs="Times New Roman"/>
        <w:b/>
        <w:sz w:val="20"/>
        <w:szCs w:val="20"/>
      </w:rPr>
      <w:fldChar w:fldCharType="separate"/>
    </w:r>
    <w:r w:rsidR="00F32CDB">
      <w:rPr>
        <w:rFonts w:ascii="Times New Roman" w:hAnsi="Times New Roman" w:cs="Times New Roman"/>
        <w:b/>
        <w:noProof/>
        <w:sz w:val="20"/>
        <w:szCs w:val="20"/>
      </w:rPr>
      <w:t>12</w:t>
    </w:r>
    <w:r w:rsidRPr="007B7A49">
      <w:rPr>
        <w:rFonts w:ascii="Times New Roman" w:hAnsi="Times New Roman" w:cs="Times New Roman"/>
        <w:b/>
        <w:sz w:val="20"/>
        <w:szCs w:val="20"/>
      </w:rPr>
      <w:fldChar w:fldCharType="end"/>
    </w:r>
  </w:p>
  <w:p w14:paraId="1D972244" w14:textId="77777777" w:rsidR="002F6E04" w:rsidRPr="007B7A49" w:rsidRDefault="002F6E0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3B81" w14:textId="77777777" w:rsidR="0049412F" w:rsidRDefault="0049412F" w:rsidP="002F6E04">
      <w:pPr>
        <w:spacing w:after="0" w:line="240" w:lineRule="auto"/>
      </w:pPr>
      <w:r>
        <w:separator/>
      </w:r>
    </w:p>
  </w:footnote>
  <w:footnote w:type="continuationSeparator" w:id="0">
    <w:p w14:paraId="776E6427" w14:textId="77777777" w:rsidR="0049412F" w:rsidRDefault="0049412F" w:rsidP="002F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A59"/>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 w15:restartNumberingAfterBreak="0">
    <w:nsid w:val="41E520D9"/>
    <w:multiLevelType w:val="hybridMultilevel"/>
    <w:tmpl w:val="99DE76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7E4E4365"/>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5"/>
    <w:rsid w:val="00080356"/>
    <w:rsid w:val="000871FE"/>
    <w:rsid w:val="000B51E8"/>
    <w:rsid w:val="001D0A2B"/>
    <w:rsid w:val="001F341C"/>
    <w:rsid w:val="00254220"/>
    <w:rsid w:val="002E243C"/>
    <w:rsid w:val="002F6E04"/>
    <w:rsid w:val="004571D9"/>
    <w:rsid w:val="004721AB"/>
    <w:rsid w:val="0049412F"/>
    <w:rsid w:val="004C4DA5"/>
    <w:rsid w:val="004E14D8"/>
    <w:rsid w:val="005776EC"/>
    <w:rsid w:val="00585358"/>
    <w:rsid w:val="00657523"/>
    <w:rsid w:val="00673144"/>
    <w:rsid w:val="007B7A49"/>
    <w:rsid w:val="0088651F"/>
    <w:rsid w:val="008B7129"/>
    <w:rsid w:val="009C461B"/>
    <w:rsid w:val="00A13067"/>
    <w:rsid w:val="00A7275B"/>
    <w:rsid w:val="00B14F8D"/>
    <w:rsid w:val="00B71D19"/>
    <w:rsid w:val="00B91FA6"/>
    <w:rsid w:val="00C7184D"/>
    <w:rsid w:val="00D667F9"/>
    <w:rsid w:val="00D9495F"/>
    <w:rsid w:val="00DD553B"/>
    <w:rsid w:val="00E43CE2"/>
    <w:rsid w:val="00E5379A"/>
    <w:rsid w:val="00F3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4F4"/>
  <w15:chartTrackingRefBased/>
  <w15:docId w15:val="{515B69CB-1ECD-4E54-B221-F335D43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667F9"/>
    <w:pPr>
      <w:spacing w:after="0" w:line="480" w:lineRule="auto"/>
      <w:ind w:left="720"/>
      <w:contextualSpacing/>
    </w:pPr>
    <w:rPr>
      <w:rFonts w:ascii="Times New Roman" w:hAnsi="Times New Roman"/>
      <w:sz w:val="32"/>
    </w:rPr>
  </w:style>
  <w:style w:type="paragraph" w:styleId="NoSpacing">
    <w:name w:val="No Spacing"/>
    <w:uiPriority w:val="1"/>
    <w:qFormat/>
    <w:rsid w:val="00254220"/>
    <w:pPr>
      <w:spacing w:after="0" w:line="240" w:lineRule="auto"/>
    </w:pPr>
  </w:style>
  <w:style w:type="paragraph" w:styleId="Header">
    <w:name w:val="header"/>
    <w:basedOn w:val="Normal"/>
    <w:link w:val="HeaderChar"/>
    <w:uiPriority w:val="99"/>
    <w:unhideWhenUsed/>
    <w:rsid w:val="002F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04"/>
  </w:style>
  <w:style w:type="paragraph" w:styleId="Footer">
    <w:name w:val="footer"/>
    <w:basedOn w:val="Normal"/>
    <w:link w:val="FooterChar"/>
    <w:uiPriority w:val="99"/>
    <w:unhideWhenUsed/>
    <w:rsid w:val="002F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04"/>
  </w:style>
  <w:style w:type="paragraph" w:styleId="BalloonText">
    <w:name w:val="Balloon Text"/>
    <w:basedOn w:val="Normal"/>
    <w:link w:val="BalloonTextChar"/>
    <w:uiPriority w:val="99"/>
    <w:semiHidden/>
    <w:unhideWhenUsed/>
    <w:rsid w:val="00B1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Columbia County, GA</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Alice</dc:creator>
  <cp:keywords/>
  <dc:description/>
  <cp:lastModifiedBy>Wade</cp:lastModifiedBy>
  <cp:revision>2</cp:revision>
  <cp:lastPrinted>2019-11-05T17:30:00Z</cp:lastPrinted>
  <dcterms:created xsi:type="dcterms:W3CDTF">2019-11-06T19:41:00Z</dcterms:created>
  <dcterms:modified xsi:type="dcterms:W3CDTF">2019-11-06T19:41:00Z</dcterms:modified>
</cp:coreProperties>
</file>