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07A0" w14:textId="35EECDAE" w:rsidR="00E57DDA" w:rsidRDefault="00E33741" w:rsidP="00E57DDA">
      <w:pPr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EVIDENCE ESSENTIALS</w:t>
      </w:r>
      <w:r w:rsidR="00A770EE">
        <w:rPr>
          <w:b/>
          <w:sz w:val="28"/>
          <w:szCs w:val="28"/>
          <w:u w:val="single"/>
        </w:rPr>
        <w:t xml:space="preserve"> </w:t>
      </w:r>
      <w:r w:rsidR="00E57DDA" w:rsidRPr="00F53A64">
        <w:rPr>
          <w:b/>
          <w:sz w:val="28"/>
          <w:szCs w:val="28"/>
          <w:u w:val="single"/>
        </w:rPr>
        <w:t>PODCAST</w:t>
      </w:r>
      <w:r w:rsidR="00C276B9">
        <w:rPr>
          <w:b/>
          <w:sz w:val="28"/>
          <w:szCs w:val="28"/>
          <w:u w:val="single"/>
        </w:rPr>
        <w:t xml:space="preserve"> </w:t>
      </w:r>
    </w:p>
    <w:p w14:paraId="25554E3A" w14:textId="40FA76E4" w:rsidR="00183812" w:rsidRDefault="00183812" w:rsidP="00E57DDA">
      <w:pPr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RULE 412</w:t>
      </w:r>
    </w:p>
    <w:p w14:paraId="0C7451FA" w14:textId="77777777" w:rsidR="006B6476" w:rsidRPr="00F53A64" w:rsidRDefault="006B6476" w:rsidP="00E57DDA">
      <w:pPr>
        <w:ind w:firstLine="0"/>
        <w:jc w:val="center"/>
        <w:rPr>
          <w:b/>
          <w:sz w:val="28"/>
          <w:szCs w:val="28"/>
          <w:u w:val="single"/>
        </w:rPr>
      </w:pPr>
    </w:p>
    <w:p w14:paraId="17838F1C" w14:textId="4B9B7226" w:rsidR="00C45932" w:rsidRDefault="002469E5" w:rsidP="006B6476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line="480" w:lineRule="auto"/>
        <w:ind w:left="720"/>
        <w:rPr>
          <w:szCs w:val="28"/>
        </w:rPr>
      </w:pPr>
      <w:r>
        <w:rPr>
          <w:szCs w:val="28"/>
        </w:rPr>
        <w:t>You asked for episodes dealing with evidence issues</w:t>
      </w:r>
    </w:p>
    <w:p w14:paraId="2576F13A" w14:textId="28C768C2" w:rsidR="002469E5" w:rsidRPr="00906E00" w:rsidRDefault="002469E5" w:rsidP="006B6476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line="480" w:lineRule="auto"/>
        <w:ind w:left="720"/>
        <w:rPr>
          <w:szCs w:val="28"/>
        </w:rPr>
      </w:pPr>
      <w:r>
        <w:rPr>
          <w:szCs w:val="28"/>
        </w:rPr>
        <w:t>“Evidence Essentials”</w:t>
      </w:r>
    </w:p>
    <w:p w14:paraId="70BCCE8C" w14:textId="52BE13C3" w:rsidR="009F7BF5" w:rsidRDefault="002469E5" w:rsidP="006B6476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line="480" w:lineRule="auto"/>
        <w:ind w:left="720"/>
        <w:rPr>
          <w:szCs w:val="28"/>
        </w:rPr>
      </w:pPr>
      <w:r>
        <w:rPr>
          <w:szCs w:val="28"/>
        </w:rPr>
        <w:t>Garon Muller helping us with these evidence episodes</w:t>
      </w:r>
    </w:p>
    <w:p w14:paraId="5602CE1E" w14:textId="0B0F92CB" w:rsidR="009F7BF5" w:rsidRDefault="002469E5" w:rsidP="006B6476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line="480" w:lineRule="auto"/>
        <w:ind w:left="720"/>
        <w:rPr>
          <w:szCs w:val="28"/>
        </w:rPr>
      </w:pPr>
      <w:r>
        <w:rPr>
          <w:szCs w:val="28"/>
        </w:rPr>
        <w:t>Rule 412—the “Rape Shield” statute</w:t>
      </w:r>
    </w:p>
    <w:p w14:paraId="6F7F2D57" w14:textId="45634042" w:rsidR="002469E5" w:rsidRDefault="002469E5" w:rsidP="006B6476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line="480" w:lineRule="auto"/>
        <w:ind w:left="720"/>
        <w:rPr>
          <w:szCs w:val="28"/>
        </w:rPr>
      </w:pPr>
      <w:r>
        <w:rPr>
          <w:szCs w:val="28"/>
        </w:rPr>
        <w:t>When evidence code was rewritten</w:t>
      </w:r>
      <w:r w:rsidR="00EF21F0">
        <w:rPr>
          <w:szCs w:val="28"/>
        </w:rPr>
        <w:t xml:space="preserve"> effective 2013</w:t>
      </w:r>
      <w:r>
        <w:rPr>
          <w:szCs w:val="28"/>
        </w:rPr>
        <w:t>, there were several groups who had their hand in the process.  One of those groups were prosecutors.</w:t>
      </w:r>
    </w:p>
    <w:p w14:paraId="3D2CA15D" w14:textId="0440B771" w:rsidR="002469E5" w:rsidRDefault="002469E5" w:rsidP="006B6476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line="480" w:lineRule="auto"/>
        <w:ind w:left="720"/>
        <w:rPr>
          <w:szCs w:val="28"/>
        </w:rPr>
      </w:pPr>
      <w:r>
        <w:rPr>
          <w:szCs w:val="28"/>
        </w:rPr>
        <w:t xml:space="preserve">The original </w:t>
      </w:r>
      <w:r w:rsidR="001354D7">
        <w:rPr>
          <w:szCs w:val="28"/>
        </w:rPr>
        <w:t xml:space="preserve">2013 </w:t>
      </w:r>
      <w:r>
        <w:rPr>
          <w:szCs w:val="28"/>
        </w:rPr>
        <w:t>version of Rule 412 did not track the Federal Rules of Evidence.</w:t>
      </w:r>
    </w:p>
    <w:p w14:paraId="4CA33D53" w14:textId="5C625F4D" w:rsidR="002469E5" w:rsidRPr="001354D7" w:rsidRDefault="00DF09C5" w:rsidP="006B6476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line="480" w:lineRule="auto"/>
        <w:ind w:left="720"/>
        <w:rPr>
          <w:b/>
          <w:bCs/>
          <w:szCs w:val="28"/>
        </w:rPr>
      </w:pPr>
      <w:r w:rsidRPr="001354D7">
        <w:rPr>
          <w:b/>
          <w:bCs/>
          <w:szCs w:val="28"/>
        </w:rPr>
        <w:t xml:space="preserve">Rule 412 </w:t>
      </w:r>
      <w:r w:rsidR="001354D7" w:rsidRPr="001354D7">
        <w:rPr>
          <w:b/>
          <w:bCs/>
          <w:szCs w:val="28"/>
        </w:rPr>
        <w:t>has now been</w:t>
      </w:r>
      <w:r w:rsidRPr="001354D7">
        <w:rPr>
          <w:b/>
          <w:bCs/>
          <w:szCs w:val="28"/>
        </w:rPr>
        <w:t xml:space="preserve"> rewritten, effective April 18, 2019</w:t>
      </w:r>
    </w:p>
    <w:p w14:paraId="684B8913" w14:textId="77777777" w:rsidR="00634CD2" w:rsidRDefault="00DF09C5" w:rsidP="006B6476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line="480" w:lineRule="auto"/>
        <w:ind w:left="720"/>
        <w:rPr>
          <w:szCs w:val="28"/>
        </w:rPr>
      </w:pPr>
      <w:r>
        <w:rPr>
          <w:szCs w:val="28"/>
        </w:rPr>
        <w:t>REPEAT-Rule 412 has been rewritten</w:t>
      </w:r>
      <w:r w:rsidR="00F420A9">
        <w:rPr>
          <w:szCs w:val="28"/>
        </w:rPr>
        <w:t xml:space="preserve">! </w:t>
      </w:r>
    </w:p>
    <w:p w14:paraId="00BB593F" w14:textId="79591ECE" w:rsidR="00DF09C5" w:rsidRDefault="00F420A9" w:rsidP="00634CD2">
      <w:pPr>
        <w:pStyle w:val="ListParaNoIndent"/>
        <w:numPr>
          <w:ilvl w:val="2"/>
          <w:numId w:val="20"/>
        </w:numPr>
        <w:spacing w:line="480" w:lineRule="auto"/>
      </w:pPr>
      <w:r>
        <w:t xml:space="preserve"> </w:t>
      </w:r>
      <w:r w:rsidRPr="00634CD2">
        <w:rPr>
          <w:i/>
          <w:iCs/>
          <w:szCs w:val="28"/>
        </w:rPr>
        <w:t>The</w:t>
      </w:r>
      <w:r>
        <w:t xml:space="preserve"> new version does not exactly track </w:t>
      </w:r>
      <w:proofErr w:type="spellStart"/>
      <w:r>
        <w:t>FRE</w:t>
      </w:r>
      <w:proofErr w:type="spellEnd"/>
      <w:r>
        <w:t xml:space="preserve"> 412 </w:t>
      </w:r>
      <w:r w:rsidR="001354D7">
        <w:t xml:space="preserve">(close but not exactly) </w:t>
      </w:r>
      <w:r>
        <w:t>but it is much broader than the former version and has more exceptions to the prohibition of prior sexual behavior of the complaining witness</w:t>
      </w:r>
    </w:p>
    <w:p w14:paraId="6AFFBAFF" w14:textId="6FB5B3B5" w:rsidR="00BD7CFA" w:rsidRDefault="00BD7CFA" w:rsidP="00BD7CFA">
      <w:pPr>
        <w:pStyle w:val="ListParaNoIndent"/>
        <w:numPr>
          <w:ilvl w:val="0"/>
          <w:numId w:val="0"/>
        </w:numPr>
        <w:spacing w:line="480" w:lineRule="auto"/>
        <w:ind w:left="1170" w:hanging="360"/>
      </w:pPr>
    </w:p>
    <w:p w14:paraId="28BC1653" w14:textId="77777777" w:rsidR="00BD7CFA" w:rsidRDefault="00BD7CFA" w:rsidP="00BD7CFA">
      <w:pPr>
        <w:pStyle w:val="ListParaNoIndent"/>
        <w:numPr>
          <w:ilvl w:val="0"/>
          <w:numId w:val="0"/>
        </w:numPr>
        <w:spacing w:line="480" w:lineRule="auto"/>
        <w:ind w:left="1170" w:hanging="360"/>
      </w:pPr>
    </w:p>
    <w:p w14:paraId="4D7B6245" w14:textId="64E06085" w:rsidR="00EB29F1" w:rsidRPr="00906E00" w:rsidRDefault="009E49A1" w:rsidP="006B6476">
      <w:pPr>
        <w:pStyle w:val="ListParaNoIndent"/>
        <w:numPr>
          <w:ilvl w:val="0"/>
          <w:numId w:val="0"/>
        </w:numPr>
        <w:tabs>
          <w:tab w:val="clear" w:pos="43"/>
          <w:tab w:val="clear" w:pos="432"/>
        </w:tabs>
        <w:spacing w:line="480" w:lineRule="auto"/>
        <w:rPr>
          <w:szCs w:val="28"/>
        </w:rPr>
      </w:pPr>
      <w:r>
        <w:rPr>
          <w:szCs w:val="28"/>
        </w:rPr>
        <w:lastRenderedPageBreak/>
        <w:pict w14:anchorId="0EE3B14D">
          <v:rect id="_x0000_i1026" style="width:0;height:1.5pt" o:hralign="center" o:hrstd="t" o:hr="t" fillcolor="#a0a0a0" stroked="f"/>
        </w:pict>
      </w:r>
    </w:p>
    <w:p w14:paraId="2F5C51A8" w14:textId="5BBB2CFA" w:rsidR="009578B7" w:rsidRPr="009578B7" w:rsidRDefault="00EF21F0" w:rsidP="009578B7">
      <w:pPr>
        <w:pStyle w:val="ListParaNoIndent"/>
        <w:numPr>
          <w:ilvl w:val="0"/>
          <w:numId w:val="0"/>
        </w:numPr>
        <w:spacing w:line="480" w:lineRule="auto"/>
        <w:jc w:val="center"/>
        <w:rPr>
          <w:i/>
          <w:iCs/>
          <w:szCs w:val="28"/>
        </w:rPr>
      </w:pPr>
      <w:r>
        <w:rPr>
          <w:b/>
          <w:bCs/>
          <w:szCs w:val="28"/>
          <w:u w:val="single"/>
        </w:rPr>
        <w:t xml:space="preserve">THE NEW VERSION OF </w:t>
      </w:r>
      <w:r w:rsidR="004627C4">
        <w:rPr>
          <w:b/>
          <w:bCs/>
          <w:szCs w:val="28"/>
          <w:u w:val="single"/>
        </w:rPr>
        <w:t>RULE</w:t>
      </w:r>
      <w:r w:rsidR="002469E5">
        <w:rPr>
          <w:b/>
          <w:bCs/>
          <w:szCs w:val="28"/>
          <w:u w:val="single"/>
        </w:rPr>
        <w:t xml:space="preserve"> 412</w:t>
      </w:r>
    </w:p>
    <w:p w14:paraId="5A6E1F3D" w14:textId="4D0D717E" w:rsidR="009E5EC7" w:rsidRPr="00DF09C5" w:rsidRDefault="00DF09C5" w:rsidP="0064023B">
      <w:pPr>
        <w:pStyle w:val="ListParaNoIndent"/>
        <w:numPr>
          <w:ilvl w:val="0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>Applies to prosecutions for:</w:t>
      </w:r>
    </w:p>
    <w:p w14:paraId="17C7C911" w14:textId="02BF8BCC" w:rsidR="00DF09C5" w:rsidRPr="00DF09C5" w:rsidRDefault="00DF09C5" w:rsidP="00DF09C5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>Rape</w:t>
      </w:r>
    </w:p>
    <w:p w14:paraId="0962B082" w14:textId="2EC888FB" w:rsidR="00DF09C5" w:rsidRPr="00DF09C5" w:rsidRDefault="00DF09C5" w:rsidP="00DF09C5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proofErr w:type="spellStart"/>
      <w:r>
        <w:rPr>
          <w:szCs w:val="28"/>
        </w:rPr>
        <w:t>Agg</w:t>
      </w:r>
      <w:proofErr w:type="spellEnd"/>
      <w:r>
        <w:rPr>
          <w:szCs w:val="28"/>
        </w:rPr>
        <w:t xml:space="preserve"> Assault with intent to Rape</w:t>
      </w:r>
    </w:p>
    <w:p w14:paraId="5E3BC8FE" w14:textId="6042C336" w:rsidR="00DF09C5" w:rsidRPr="00DF09C5" w:rsidRDefault="00DF09C5" w:rsidP="00DF09C5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 xml:space="preserve">Sodomy and </w:t>
      </w:r>
      <w:proofErr w:type="spellStart"/>
      <w:r>
        <w:rPr>
          <w:szCs w:val="28"/>
        </w:rPr>
        <w:t>Agg</w:t>
      </w:r>
      <w:proofErr w:type="spellEnd"/>
      <w:r>
        <w:rPr>
          <w:szCs w:val="28"/>
        </w:rPr>
        <w:t xml:space="preserve"> Sodomy</w:t>
      </w:r>
    </w:p>
    <w:p w14:paraId="7C47D6EA" w14:textId="20FC79DD" w:rsidR="00DF09C5" w:rsidRPr="00DF09C5" w:rsidRDefault="00DF09C5" w:rsidP="00DF09C5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>Statutory Rape</w:t>
      </w:r>
      <w:r w:rsidR="00C07D28">
        <w:rPr>
          <w:szCs w:val="28"/>
        </w:rPr>
        <w:t xml:space="preserve"> and Incest</w:t>
      </w:r>
    </w:p>
    <w:p w14:paraId="15C6C797" w14:textId="475A6583" w:rsidR="00DF09C5" w:rsidRPr="00DF09C5" w:rsidRDefault="00DF09C5" w:rsidP="00DF09C5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 xml:space="preserve">Child Molestation and </w:t>
      </w:r>
      <w:proofErr w:type="spellStart"/>
      <w:r>
        <w:rPr>
          <w:szCs w:val="28"/>
        </w:rPr>
        <w:t>Agg</w:t>
      </w:r>
      <w:proofErr w:type="spellEnd"/>
      <w:r>
        <w:rPr>
          <w:szCs w:val="28"/>
        </w:rPr>
        <w:t xml:space="preserve"> Child Molestation</w:t>
      </w:r>
    </w:p>
    <w:p w14:paraId="71F52E73" w14:textId="539A8568" w:rsidR="00DF09C5" w:rsidRPr="00DF09C5" w:rsidRDefault="00DF09C5" w:rsidP="00DF09C5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>Human Trafficking</w:t>
      </w:r>
    </w:p>
    <w:p w14:paraId="69FCD84C" w14:textId="39D4826E" w:rsidR="00DF09C5" w:rsidRPr="00DF09C5" w:rsidRDefault="00DF09C5" w:rsidP="00DF09C5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>Pimping, pandering and keeping place of prostitution</w:t>
      </w:r>
    </w:p>
    <w:p w14:paraId="289C81DD" w14:textId="56089911" w:rsidR="00DF09C5" w:rsidRPr="00C07D28" w:rsidRDefault="00C07D28" w:rsidP="00DF09C5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 xml:space="preserve">Sexual battery and </w:t>
      </w:r>
      <w:proofErr w:type="spellStart"/>
      <w:r>
        <w:rPr>
          <w:szCs w:val="28"/>
        </w:rPr>
        <w:t>Agg</w:t>
      </w:r>
      <w:proofErr w:type="spellEnd"/>
      <w:r>
        <w:rPr>
          <w:szCs w:val="28"/>
        </w:rPr>
        <w:t xml:space="preserve"> Sexual Battery</w:t>
      </w:r>
    </w:p>
    <w:p w14:paraId="080A729D" w14:textId="793E2800" w:rsidR="00C07D28" w:rsidRPr="00EA130D" w:rsidRDefault="00C07D28" w:rsidP="00C07D28">
      <w:pPr>
        <w:pStyle w:val="ListParaNoIndent"/>
        <w:numPr>
          <w:ilvl w:val="0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 xml:space="preserve">In any of those listed cases, past sexual behavior of complaining witness </w:t>
      </w:r>
      <w:r w:rsidR="001354D7">
        <w:rPr>
          <w:szCs w:val="28"/>
        </w:rPr>
        <w:t xml:space="preserve">is </w:t>
      </w:r>
      <w:r>
        <w:rPr>
          <w:szCs w:val="28"/>
        </w:rPr>
        <w:t xml:space="preserve">not admissible (either as direct evidence or on cross-examination of complaining witness </w:t>
      </w:r>
      <w:r>
        <w:rPr>
          <w:b/>
          <w:bCs/>
          <w:i/>
          <w:iCs/>
          <w:szCs w:val="28"/>
        </w:rPr>
        <w:t>or other witnesses</w:t>
      </w:r>
      <w:r>
        <w:rPr>
          <w:szCs w:val="28"/>
        </w:rPr>
        <w:t>) except as allowed in Rule 412</w:t>
      </w:r>
    </w:p>
    <w:p w14:paraId="463ED717" w14:textId="32F62D32" w:rsidR="00EA130D" w:rsidRPr="00C07D28" w:rsidRDefault="00EA130D" w:rsidP="00EA130D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>So a party cannot “work around” Rule 412 by asking that other witness about the victim’s prior sexual behavior</w:t>
      </w:r>
    </w:p>
    <w:p w14:paraId="3E663871" w14:textId="157E5227" w:rsidR="00C07D28" w:rsidRPr="00550418" w:rsidRDefault="00550418" w:rsidP="00C07D28">
      <w:pPr>
        <w:pStyle w:val="ListParaNoIndent"/>
        <w:numPr>
          <w:ilvl w:val="0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>Only circumstances where such evidence would be admissible:</w:t>
      </w:r>
    </w:p>
    <w:p w14:paraId="1249D47B" w14:textId="77777777" w:rsidR="00550418" w:rsidRPr="00550418" w:rsidRDefault="00550418" w:rsidP="00550418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 w:rsidRPr="00550418">
        <w:rPr>
          <w:szCs w:val="28"/>
          <w:u w:val="single"/>
        </w:rPr>
        <w:lastRenderedPageBreak/>
        <w:t xml:space="preserve">(1) Evidence of specific instances of a victim's or complaining witness's sexual behavior, </w:t>
      </w:r>
      <w:r w:rsidRPr="00550418">
        <w:rPr>
          <w:b/>
          <w:bCs/>
          <w:szCs w:val="28"/>
          <w:u w:val="single"/>
        </w:rPr>
        <w:t>if offered to prove that someone other than the defendant was the source of semen, injury, or other physical evidence</w:t>
      </w:r>
      <w:r w:rsidRPr="00550418">
        <w:rPr>
          <w:szCs w:val="28"/>
          <w:u w:val="single"/>
        </w:rPr>
        <w:t>;</w:t>
      </w:r>
    </w:p>
    <w:p w14:paraId="3569403C" w14:textId="77777777" w:rsidR="00550418" w:rsidRPr="00550418" w:rsidRDefault="00550418" w:rsidP="00550418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 w:rsidRPr="00550418">
        <w:rPr>
          <w:szCs w:val="28"/>
          <w:u w:val="single"/>
        </w:rPr>
        <w:t xml:space="preserve">(2) Evidence of specific instances of a victim's or complaining witness's sexual behavior </w:t>
      </w:r>
      <w:r w:rsidRPr="00550418">
        <w:rPr>
          <w:b/>
          <w:bCs/>
          <w:szCs w:val="28"/>
          <w:u w:val="single"/>
        </w:rPr>
        <w:t>with respect to the defendant if it supports an inference that the accused could have reasonably believed that the complaining witness consented to the conduct complained of in the prosecution</w:t>
      </w:r>
      <w:r w:rsidRPr="00550418">
        <w:rPr>
          <w:szCs w:val="28"/>
          <w:u w:val="single"/>
        </w:rPr>
        <w:t>;</w:t>
      </w:r>
    </w:p>
    <w:p w14:paraId="21D21790" w14:textId="77777777" w:rsidR="00550418" w:rsidRPr="00550418" w:rsidRDefault="00550418" w:rsidP="00550418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 w:rsidRPr="00550418">
        <w:rPr>
          <w:szCs w:val="28"/>
          <w:u w:val="single"/>
        </w:rPr>
        <w:t xml:space="preserve">(3) Evidence of specific instances of a victim's or complaining witness's sexual behavior </w:t>
      </w:r>
      <w:r w:rsidRPr="00550418">
        <w:rPr>
          <w:b/>
          <w:bCs/>
          <w:szCs w:val="28"/>
          <w:u w:val="single"/>
        </w:rPr>
        <w:t>with respect to the defendant or another person if offered by the prosecutor</w:t>
      </w:r>
      <w:r w:rsidRPr="00550418">
        <w:rPr>
          <w:szCs w:val="28"/>
          <w:u w:val="single"/>
        </w:rPr>
        <w:t>; and</w:t>
      </w:r>
    </w:p>
    <w:p w14:paraId="2A226109" w14:textId="629308F6" w:rsidR="00550418" w:rsidRDefault="00550418" w:rsidP="00550418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 w:rsidRPr="00550418">
        <w:rPr>
          <w:szCs w:val="28"/>
          <w:u w:val="single"/>
        </w:rPr>
        <w:t xml:space="preserve">(4) </w:t>
      </w:r>
      <w:r w:rsidRPr="00550418">
        <w:rPr>
          <w:b/>
          <w:bCs/>
          <w:szCs w:val="28"/>
          <w:u w:val="single"/>
        </w:rPr>
        <w:t>Evidence whose exclusion would violate the defendant's constitutional rights</w:t>
      </w:r>
      <w:r w:rsidRPr="00550418">
        <w:rPr>
          <w:szCs w:val="28"/>
          <w:u w:val="single"/>
        </w:rPr>
        <w:t>.</w:t>
      </w:r>
    </w:p>
    <w:p w14:paraId="3DCBB995" w14:textId="51536568" w:rsidR="00550418" w:rsidRDefault="009E49A1" w:rsidP="00550418">
      <w:pPr>
        <w:pStyle w:val="ListParaNoIndent"/>
        <w:numPr>
          <w:ilvl w:val="0"/>
          <w:numId w:val="0"/>
        </w:numPr>
        <w:spacing w:line="480" w:lineRule="auto"/>
        <w:rPr>
          <w:szCs w:val="28"/>
        </w:rPr>
      </w:pPr>
      <w:r>
        <w:rPr>
          <w:szCs w:val="28"/>
        </w:rPr>
        <w:pict w14:anchorId="40CF486A">
          <v:rect id="_x0000_i1027" style="width:0;height:1.5pt" o:hralign="center" o:bullet="t" o:hrstd="t" o:hr="t" fillcolor="#a0a0a0" stroked="f"/>
        </w:pict>
      </w:r>
    </w:p>
    <w:p w14:paraId="4E2FEFE8" w14:textId="25DC2A64" w:rsidR="00EF21F0" w:rsidRPr="00EF21F0" w:rsidRDefault="00EF21F0" w:rsidP="00EF21F0">
      <w:pPr>
        <w:pStyle w:val="ListParaNoIndent"/>
        <w:numPr>
          <w:ilvl w:val="0"/>
          <w:numId w:val="0"/>
        </w:numPr>
        <w:spacing w:line="48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ANALYSIS OF THE NEW RULE 412</w:t>
      </w:r>
    </w:p>
    <w:p w14:paraId="076638D3" w14:textId="714DBBF1" w:rsidR="00550418" w:rsidRPr="00550418" w:rsidRDefault="00550418" w:rsidP="00CE0689">
      <w:pPr>
        <w:pStyle w:val="ListParaNoIndent"/>
        <w:numPr>
          <w:ilvl w:val="0"/>
          <w:numId w:val="20"/>
        </w:numPr>
        <w:spacing w:line="480" w:lineRule="auto"/>
      </w:pPr>
      <w:r>
        <w:t>Let’s stop here for a moment before we get into the procedural requirements</w:t>
      </w:r>
      <w:r w:rsidR="00CE0689">
        <w:t xml:space="preserve"> that must be met to have past sexual behavior of the complaining witness to be admissible</w:t>
      </w:r>
    </w:p>
    <w:p w14:paraId="1B5AD76A" w14:textId="0B1DE2ED" w:rsidR="009E5EC7" w:rsidRPr="00A65A5A" w:rsidRDefault="00CE0689" w:rsidP="0064023B">
      <w:pPr>
        <w:pStyle w:val="ListParaNoIndent"/>
        <w:numPr>
          <w:ilvl w:val="0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lastRenderedPageBreak/>
        <w:t>The prior version of Rule 412 essentially said no evidence of the victim’s prior sexual behavior was admissible except to prove alleged consent</w:t>
      </w:r>
    </w:p>
    <w:p w14:paraId="14974703" w14:textId="7AEA9226" w:rsidR="00A65A5A" w:rsidRPr="00850E92" w:rsidRDefault="00082EAF" w:rsidP="0064023B">
      <w:pPr>
        <w:pStyle w:val="ListParaNoIndent"/>
        <w:numPr>
          <w:ilvl w:val="0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 xml:space="preserve">The recent decision in </w:t>
      </w:r>
      <w:r>
        <w:rPr>
          <w:i/>
          <w:iCs/>
          <w:szCs w:val="28"/>
        </w:rPr>
        <w:t>White v. State</w:t>
      </w:r>
      <w:r>
        <w:rPr>
          <w:szCs w:val="28"/>
        </w:rPr>
        <w:t xml:space="preserve">, 305 Ga. 111 (2019) says exactly that: </w:t>
      </w:r>
      <w:r w:rsidR="00850E92">
        <w:rPr>
          <w:szCs w:val="28"/>
        </w:rPr>
        <w:t>“</w:t>
      </w:r>
      <w:r w:rsidR="00850E92" w:rsidRPr="00850E92">
        <w:rPr>
          <w:szCs w:val="28"/>
        </w:rPr>
        <w:t>evidence of a complaining witness’s past sexual behavior is only admissible under the Rape Shield Statute if that evidence is relevant to the issue of consent</w:t>
      </w:r>
      <w:r w:rsidR="00850E92">
        <w:rPr>
          <w:szCs w:val="28"/>
        </w:rPr>
        <w:t xml:space="preserve">.” </w:t>
      </w:r>
      <w:r w:rsidR="00850E92">
        <w:rPr>
          <w:i/>
          <w:iCs/>
          <w:szCs w:val="28"/>
        </w:rPr>
        <w:t>White</w:t>
      </w:r>
      <w:r w:rsidR="00850E92">
        <w:rPr>
          <w:szCs w:val="28"/>
        </w:rPr>
        <w:t>, at 114.</w:t>
      </w:r>
    </w:p>
    <w:p w14:paraId="13F5C3BA" w14:textId="2930980E" w:rsidR="00850E92" w:rsidRPr="00EA130D" w:rsidRDefault="00850E92" w:rsidP="0064023B">
      <w:pPr>
        <w:pStyle w:val="ListParaNoIndent"/>
        <w:numPr>
          <w:ilvl w:val="0"/>
          <w:numId w:val="20"/>
        </w:numPr>
        <w:spacing w:line="480" w:lineRule="auto"/>
        <w:rPr>
          <w:szCs w:val="28"/>
          <w:u w:val="single"/>
        </w:rPr>
      </w:pPr>
      <w:r>
        <w:rPr>
          <w:b/>
          <w:bCs/>
          <w:szCs w:val="28"/>
        </w:rPr>
        <w:t>BUT,</w:t>
      </w:r>
      <w:r>
        <w:rPr>
          <w:szCs w:val="28"/>
        </w:rPr>
        <w:t xml:space="preserve"> THE STATUTE WAS CHANGED BY THE LEGISLATURE!</w:t>
      </w:r>
    </w:p>
    <w:p w14:paraId="53DBEE78" w14:textId="77777777" w:rsidR="00ED5C79" w:rsidRPr="00ED5C79" w:rsidRDefault="00EA130D" w:rsidP="0064023B">
      <w:pPr>
        <w:pStyle w:val="ListParaNoIndent"/>
        <w:numPr>
          <w:ilvl w:val="0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>So</w:t>
      </w:r>
      <w:r w:rsidR="00ED5C79">
        <w:rPr>
          <w:szCs w:val="28"/>
        </w:rPr>
        <w:t xml:space="preserve"> under the latest version of Rule 412:</w:t>
      </w:r>
    </w:p>
    <w:p w14:paraId="4846101A" w14:textId="6383D6FF" w:rsidR="00EA130D" w:rsidRPr="00EA130D" w:rsidRDefault="00EA130D" w:rsidP="00ED5C79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 xml:space="preserve"> evidence relating to victim’s prior sexual behavior can be admitted to prove that someone other than the defendant could have been the source of physical or biological evidence</w:t>
      </w:r>
    </w:p>
    <w:p w14:paraId="4D9188AA" w14:textId="639371A7" w:rsidR="00EA130D" w:rsidRPr="003A1BF4" w:rsidRDefault="00EA130D" w:rsidP="00ED5C79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 xml:space="preserve">It can also be admitted </w:t>
      </w:r>
      <w:r w:rsidR="003A1BF4">
        <w:rPr>
          <w:szCs w:val="28"/>
        </w:rPr>
        <w:t>in an attempt to prove consent</w:t>
      </w:r>
    </w:p>
    <w:p w14:paraId="607E0343" w14:textId="439E7C93" w:rsidR="003A1BF4" w:rsidRDefault="003A1BF4" w:rsidP="00ED5C79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>It can be admitted if offered by the prosecutor</w:t>
      </w:r>
    </w:p>
    <w:p w14:paraId="321DF808" w14:textId="6BD4FBE5" w:rsidR="003A1BF4" w:rsidRPr="003A1BF4" w:rsidRDefault="003A1BF4" w:rsidP="00ED5C79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>And it can be admitted if “exclusion would violate the defendant’s constitutional rights”</w:t>
      </w:r>
    </w:p>
    <w:p w14:paraId="64D07A06" w14:textId="36EFD5C2" w:rsidR="003A1BF4" w:rsidRPr="00C01992" w:rsidRDefault="003A1BF4" w:rsidP="00ED5C79">
      <w:pPr>
        <w:pStyle w:val="ListParaNoIndent"/>
        <w:numPr>
          <w:ilvl w:val="0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>That</w:t>
      </w:r>
      <w:r w:rsidR="00ED5C79">
        <w:rPr>
          <w:szCs w:val="28"/>
        </w:rPr>
        <w:t xml:space="preserve"> last exception is</w:t>
      </w:r>
      <w:r>
        <w:rPr>
          <w:szCs w:val="28"/>
        </w:rPr>
        <w:t xml:space="preserve"> a broad exception that </w:t>
      </w:r>
      <w:r w:rsidR="00C01992">
        <w:rPr>
          <w:szCs w:val="28"/>
        </w:rPr>
        <w:t>is subject to serious debate.</w:t>
      </w:r>
    </w:p>
    <w:p w14:paraId="19E1C14E" w14:textId="363ACA60" w:rsidR="00C01992" w:rsidRPr="00C01992" w:rsidRDefault="00C01992" w:rsidP="003A1BF4">
      <w:pPr>
        <w:pStyle w:val="ListParaNoIndent"/>
        <w:numPr>
          <w:ilvl w:val="1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 xml:space="preserve">For example, </w:t>
      </w:r>
      <w:r>
        <w:rPr>
          <w:i/>
          <w:iCs/>
          <w:szCs w:val="28"/>
        </w:rPr>
        <w:t>State v. Burns</w:t>
      </w:r>
      <w:r>
        <w:rPr>
          <w:szCs w:val="28"/>
        </w:rPr>
        <w:t xml:space="preserve">, </w:t>
      </w:r>
      <w:r w:rsidR="00634CD2">
        <w:rPr>
          <w:szCs w:val="28"/>
        </w:rPr>
        <w:t>306</w:t>
      </w:r>
      <w:r>
        <w:rPr>
          <w:szCs w:val="28"/>
        </w:rPr>
        <w:t xml:space="preserve"> Ga. </w:t>
      </w:r>
      <w:r w:rsidR="00634CD2">
        <w:rPr>
          <w:szCs w:val="28"/>
        </w:rPr>
        <w:t xml:space="preserve">117 </w:t>
      </w:r>
      <w:r>
        <w:rPr>
          <w:szCs w:val="28"/>
        </w:rPr>
        <w:t xml:space="preserve">(6/10/2019) addressed the issue of whether a defendant has the right to impeach a victim of a sexual crime with </w:t>
      </w:r>
      <w:r>
        <w:rPr>
          <w:szCs w:val="28"/>
        </w:rPr>
        <w:lastRenderedPageBreak/>
        <w:t xml:space="preserve">evidence </w:t>
      </w:r>
      <w:r w:rsidR="00BF3489">
        <w:rPr>
          <w:szCs w:val="28"/>
        </w:rPr>
        <w:t xml:space="preserve">that the victim in this case made a </w:t>
      </w:r>
      <w:r>
        <w:rPr>
          <w:szCs w:val="28"/>
        </w:rPr>
        <w:t>prior false allegation against another person</w:t>
      </w:r>
    </w:p>
    <w:p w14:paraId="4C129A4E" w14:textId="6CB16BA0" w:rsidR="00C01992" w:rsidRPr="00C01992" w:rsidRDefault="00C01992" w:rsidP="00C01992">
      <w:pPr>
        <w:pStyle w:val="ListParaNoIndent"/>
        <w:numPr>
          <w:ilvl w:val="2"/>
          <w:numId w:val="20"/>
        </w:numPr>
        <w:spacing w:line="480" w:lineRule="auto"/>
        <w:rPr>
          <w:szCs w:val="28"/>
          <w:u w:val="single"/>
        </w:rPr>
      </w:pPr>
      <w:r>
        <w:rPr>
          <w:i/>
          <w:iCs/>
          <w:szCs w:val="28"/>
        </w:rPr>
        <w:t>Burns</w:t>
      </w:r>
      <w:r>
        <w:rPr>
          <w:szCs w:val="28"/>
        </w:rPr>
        <w:t xml:space="preserve"> overturned a BUNCH of cases that held that prior false allegations of the victim were </w:t>
      </w:r>
      <w:r w:rsidR="00ED5C79">
        <w:rPr>
          <w:szCs w:val="28"/>
        </w:rPr>
        <w:t xml:space="preserve">per se </w:t>
      </w:r>
      <w:r>
        <w:rPr>
          <w:szCs w:val="28"/>
        </w:rPr>
        <w:t>admissible</w:t>
      </w:r>
    </w:p>
    <w:p w14:paraId="3E2C41C7" w14:textId="26530ACA" w:rsidR="00C01992" w:rsidRPr="00ED5C79" w:rsidRDefault="00C01992" w:rsidP="00C01992">
      <w:pPr>
        <w:pStyle w:val="ListParaNoIndent"/>
        <w:numPr>
          <w:ilvl w:val="2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 xml:space="preserve">The Court held that there is no constitutional right </w:t>
      </w:r>
      <w:r w:rsidR="00AA5246">
        <w:rPr>
          <w:szCs w:val="28"/>
        </w:rPr>
        <w:t>(under 6</w:t>
      </w:r>
      <w:r w:rsidR="00AA5246" w:rsidRPr="00AA5246">
        <w:rPr>
          <w:szCs w:val="28"/>
          <w:vertAlign w:val="superscript"/>
        </w:rPr>
        <w:t>th</w:t>
      </w:r>
      <w:r w:rsidR="00AA5246">
        <w:rPr>
          <w:szCs w:val="28"/>
        </w:rPr>
        <w:t xml:space="preserve"> and 14</w:t>
      </w:r>
      <w:r w:rsidR="00AA5246" w:rsidRPr="00AA5246">
        <w:rPr>
          <w:szCs w:val="28"/>
          <w:vertAlign w:val="superscript"/>
        </w:rPr>
        <w:t>th</w:t>
      </w:r>
      <w:r w:rsidR="00AA5246">
        <w:rPr>
          <w:szCs w:val="28"/>
        </w:rPr>
        <w:t xml:space="preserve"> </w:t>
      </w:r>
      <w:r w:rsidR="00ED5C79">
        <w:rPr>
          <w:szCs w:val="28"/>
        </w:rPr>
        <w:t>A</w:t>
      </w:r>
      <w:r w:rsidR="00AA5246">
        <w:rPr>
          <w:szCs w:val="28"/>
        </w:rPr>
        <w:t>mendment</w:t>
      </w:r>
      <w:r w:rsidR="00ED5C79">
        <w:rPr>
          <w:szCs w:val="28"/>
        </w:rPr>
        <w:t xml:space="preserve">s) </w:t>
      </w:r>
      <w:r>
        <w:rPr>
          <w:szCs w:val="28"/>
        </w:rPr>
        <w:t xml:space="preserve">to impeach a witness with the use of extrinsic evidence of a prior </w:t>
      </w:r>
      <w:r w:rsidR="00BF3489">
        <w:rPr>
          <w:szCs w:val="28"/>
        </w:rPr>
        <w:t>false allegation</w:t>
      </w:r>
    </w:p>
    <w:p w14:paraId="18A06EED" w14:textId="7EBFC667" w:rsidR="00ED5C79" w:rsidRPr="00BF3489" w:rsidRDefault="00ED5C79" w:rsidP="00C01992">
      <w:pPr>
        <w:pStyle w:val="ListParaNoIndent"/>
        <w:numPr>
          <w:ilvl w:val="2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 xml:space="preserve">So when </w:t>
      </w:r>
      <w:r w:rsidR="001354D7">
        <w:rPr>
          <w:szCs w:val="28"/>
        </w:rPr>
        <w:t>Rule 412</w:t>
      </w:r>
      <w:r>
        <w:rPr>
          <w:szCs w:val="28"/>
        </w:rPr>
        <w:t xml:space="preserve"> was rewritten this year, it seems that the decision in </w:t>
      </w:r>
      <w:r>
        <w:rPr>
          <w:i/>
          <w:iCs/>
          <w:szCs w:val="28"/>
        </w:rPr>
        <w:t>Burns</w:t>
      </w:r>
      <w:r>
        <w:rPr>
          <w:szCs w:val="28"/>
        </w:rPr>
        <w:t xml:space="preserve"> remains applicable.  There is no </w:t>
      </w:r>
      <w:r w:rsidR="001354D7">
        <w:rPr>
          <w:szCs w:val="28"/>
        </w:rPr>
        <w:t xml:space="preserve">per se </w:t>
      </w:r>
      <w:r>
        <w:rPr>
          <w:szCs w:val="28"/>
        </w:rPr>
        <w:t xml:space="preserve">constitutional right to question an alleged victim </w:t>
      </w:r>
      <w:r w:rsidR="00BF3489">
        <w:rPr>
          <w:szCs w:val="28"/>
        </w:rPr>
        <w:t>concerning his/her</w:t>
      </w:r>
      <w:r>
        <w:rPr>
          <w:szCs w:val="28"/>
        </w:rPr>
        <w:t xml:space="preserve"> prior false allegations</w:t>
      </w:r>
      <w:r w:rsidR="00BF3489">
        <w:rPr>
          <w:szCs w:val="28"/>
        </w:rPr>
        <w:t xml:space="preserve"> of sexual assault</w:t>
      </w:r>
    </w:p>
    <w:p w14:paraId="48366CFB" w14:textId="16E851B7" w:rsidR="00BF3489" w:rsidRPr="003A1BF4" w:rsidRDefault="00BF3489" w:rsidP="00C01992">
      <w:pPr>
        <w:pStyle w:val="ListParaNoIndent"/>
        <w:numPr>
          <w:ilvl w:val="2"/>
          <w:numId w:val="20"/>
        </w:numPr>
        <w:spacing w:line="480" w:lineRule="auto"/>
        <w:rPr>
          <w:szCs w:val="28"/>
          <w:u w:val="single"/>
        </w:rPr>
      </w:pPr>
      <w:r>
        <w:rPr>
          <w:szCs w:val="28"/>
        </w:rPr>
        <w:t xml:space="preserve">If a defendant claims to use the “constitutional rights” exception to introduce prior false allegations, that argument should fail in the face of the </w:t>
      </w:r>
      <w:r>
        <w:rPr>
          <w:i/>
          <w:iCs/>
          <w:szCs w:val="28"/>
        </w:rPr>
        <w:t>Burns</w:t>
      </w:r>
      <w:r>
        <w:rPr>
          <w:szCs w:val="28"/>
        </w:rPr>
        <w:t xml:space="preserve"> decision</w:t>
      </w:r>
    </w:p>
    <w:p w14:paraId="2C03518B" w14:textId="012FD8C3" w:rsidR="0046791C" w:rsidRPr="00B93E22" w:rsidRDefault="009E49A1" w:rsidP="00BF3489">
      <w:pPr>
        <w:pStyle w:val="ListParaNoIndent"/>
        <w:numPr>
          <w:ilvl w:val="0"/>
          <w:numId w:val="0"/>
        </w:numPr>
        <w:spacing w:line="480" w:lineRule="auto"/>
        <w:rPr>
          <w:szCs w:val="28"/>
        </w:rPr>
      </w:pPr>
      <w:r>
        <w:rPr>
          <w:szCs w:val="28"/>
        </w:rPr>
        <w:pict w14:anchorId="653EB9A0">
          <v:rect id="_x0000_i1028" style="width:0;height:1.5pt" o:hralign="center" o:hrstd="t" o:hr="t" fillcolor="#a0a0a0" stroked="f"/>
        </w:pict>
      </w:r>
    </w:p>
    <w:p w14:paraId="5F7EC30D" w14:textId="3E166CEF" w:rsidR="00BF3489" w:rsidRDefault="00BF3489" w:rsidP="0046791C">
      <w:pPr>
        <w:pStyle w:val="ListParaNoIndent"/>
        <w:numPr>
          <w:ilvl w:val="0"/>
          <w:numId w:val="0"/>
        </w:numPr>
        <w:spacing w:line="480" w:lineRule="auto"/>
        <w:jc w:val="center"/>
        <w:rPr>
          <w:bCs/>
          <w:szCs w:val="28"/>
        </w:rPr>
      </w:pPr>
      <w:r>
        <w:rPr>
          <w:b/>
          <w:szCs w:val="28"/>
          <w:u w:val="single"/>
        </w:rPr>
        <w:t>PROCEDURAL REQUIREMENTS OF RULE 412</w:t>
      </w:r>
    </w:p>
    <w:p w14:paraId="7D5DDEDE" w14:textId="3F3F2A3F" w:rsidR="00BF3489" w:rsidRDefault="00BF3489" w:rsidP="00BF3489">
      <w:pPr>
        <w:pStyle w:val="ListParaNoIndent"/>
        <w:numPr>
          <w:ilvl w:val="0"/>
          <w:numId w:val="20"/>
        </w:numPr>
        <w:spacing w:line="480" w:lineRule="auto"/>
        <w:rPr>
          <w:bCs/>
          <w:szCs w:val="28"/>
        </w:rPr>
      </w:pPr>
      <w:r>
        <w:rPr>
          <w:bCs/>
          <w:szCs w:val="28"/>
        </w:rPr>
        <w:t>Subsection (c) of Rule 412 provides:</w:t>
      </w:r>
    </w:p>
    <w:p w14:paraId="7E70DE4D" w14:textId="77777777" w:rsidR="0061653F" w:rsidRDefault="0061653F" w:rsidP="0061653F">
      <w:pPr>
        <w:pStyle w:val="ListParaNoIndent"/>
        <w:numPr>
          <w:ilvl w:val="0"/>
          <w:numId w:val="0"/>
        </w:numPr>
        <w:spacing w:line="480" w:lineRule="auto"/>
        <w:ind w:left="810"/>
        <w:rPr>
          <w:bCs/>
          <w:szCs w:val="28"/>
        </w:rPr>
      </w:pPr>
      <w:r>
        <w:rPr>
          <w:bCs/>
          <w:szCs w:val="28"/>
        </w:rPr>
        <w:lastRenderedPageBreak/>
        <w:t>“</w:t>
      </w:r>
      <w:r w:rsidRPr="0061653F">
        <w:rPr>
          <w:bCs/>
          <w:szCs w:val="28"/>
        </w:rPr>
        <w:t>(c) The procedure for introducing evidence as described in subsection (b) of this Code section shall be as follows:</w:t>
      </w:r>
    </w:p>
    <w:p w14:paraId="4323C11B" w14:textId="4B0D1B32" w:rsidR="0061653F" w:rsidRPr="0061653F" w:rsidRDefault="0061653F" w:rsidP="0061653F">
      <w:pPr>
        <w:pStyle w:val="ListParaNoIndent"/>
        <w:numPr>
          <w:ilvl w:val="0"/>
          <w:numId w:val="0"/>
        </w:numPr>
        <w:spacing w:line="480" w:lineRule="auto"/>
        <w:ind w:left="810"/>
        <w:rPr>
          <w:bCs/>
          <w:szCs w:val="28"/>
        </w:rPr>
      </w:pPr>
      <w:r>
        <w:rPr>
          <w:bCs/>
          <w:szCs w:val="28"/>
        </w:rPr>
        <w:tab/>
      </w:r>
      <w:r w:rsidRPr="0061653F">
        <w:rPr>
          <w:bCs/>
          <w:szCs w:val="28"/>
        </w:rPr>
        <w:t>(1) If a party intends to offer evidence under subsection (b), the party must:</w:t>
      </w:r>
    </w:p>
    <w:p w14:paraId="4DB40964" w14:textId="4BFB7F52" w:rsidR="0061653F" w:rsidRPr="0061653F" w:rsidRDefault="0061653F" w:rsidP="0061653F">
      <w:pPr>
        <w:pStyle w:val="ListParaNoIndent"/>
        <w:numPr>
          <w:ilvl w:val="0"/>
          <w:numId w:val="0"/>
        </w:numPr>
        <w:spacing w:line="480" w:lineRule="auto"/>
        <w:ind w:left="1440" w:hanging="360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Pr="0061653F">
        <w:rPr>
          <w:bCs/>
          <w:szCs w:val="28"/>
        </w:rPr>
        <w:t>(A) File a motion that specifically describes the evidence and states the purpose for which it is to be offered; and</w:t>
      </w:r>
    </w:p>
    <w:p w14:paraId="0ED92057" w14:textId="4456644C" w:rsidR="0061653F" w:rsidRPr="0061653F" w:rsidRDefault="0061653F" w:rsidP="0061653F">
      <w:pPr>
        <w:pStyle w:val="ListParaNoIndent"/>
        <w:numPr>
          <w:ilvl w:val="0"/>
          <w:numId w:val="0"/>
        </w:numPr>
        <w:spacing w:line="480" w:lineRule="auto"/>
        <w:ind w:left="720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Pr="0061653F">
        <w:rPr>
          <w:bCs/>
          <w:szCs w:val="28"/>
        </w:rPr>
        <w:t xml:space="preserve">(B) Do so at least </w:t>
      </w:r>
      <w:r w:rsidRPr="0061653F">
        <w:rPr>
          <w:b/>
          <w:i/>
          <w:iCs/>
          <w:szCs w:val="28"/>
        </w:rPr>
        <w:t>three days before trial</w:t>
      </w:r>
      <w:r w:rsidRPr="0061653F">
        <w:rPr>
          <w:bCs/>
          <w:szCs w:val="28"/>
        </w:rPr>
        <w:t xml:space="preserve"> unless the court, for good cause, sets a different date; and</w:t>
      </w:r>
    </w:p>
    <w:p w14:paraId="75447F76" w14:textId="1C354787" w:rsidR="00BF3489" w:rsidRDefault="0061653F" w:rsidP="0061653F">
      <w:pPr>
        <w:pStyle w:val="ListParaNoIndent"/>
        <w:numPr>
          <w:ilvl w:val="0"/>
          <w:numId w:val="0"/>
        </w:numPr>
        <w:spacing w:line="480" w:lineRule="auto"/>
        <w:ind w:left="810"/>
        <w:rPr>
          <w:bCs/>
          <w:szCs w:val="28"/>
        </w:rPr>
      </w:pPr>
      <w:r>
        <w:rPr>
          <w:bCs/>
          <w:szCs w:val="28"/>
        </w:rPr>
        <w:tab/>
      </w:r>
      <w:r w:rsidRPr="0061653F">
        <w:rPr>
          <w:bCs/>
          <w:szCs w:val="28"/>
        </w:rPr>
        <w:t xml:space="preserve">(2) Before admitting the evidence under this Code section, the court shall conduct an </w:t>
      </w:r>
      <w:r w:rsidRPr="0061653F">
        <w:rPr>
          <w:b/>
          <w:i/>
          <w:iCs/>
          <w:szCs w:val="28"/>
        </w:rPr>
        <w:t>in camera hearing</w:t>
      </w:r>
      <w:r w:rsidRPr="0061653F">
        <w:rPr>
          <w:bCs/>
          <w:szCs w:val="28"/>
        </w:rPr>
        <w:t xml:space="preserve"> to examine the merits of the motion.</w:t>
      </w:r>
      <w:r>
        <w:rPr>
          <w:bCs/>
          <w:szCs w:val="28"/>
        </w:rPr>
        <w:t>”</w:t>
      </w:r>
    </w:p>
    <w:p w14:paraId="4305D11F" w14:textId="36B5219D" w:rsidR="0061653F" w:rsidRDefault="0061653F" w:rsidP="0061653F">
      <w:pPr>
        <w:pStyle w:val="ListParaNoIndent"/>
        <w:numPr>
          <w:ilvl w:val="0"/>
          <w:numId w:val="20"/>
        </w:numPr>
        <w:spacing w:line="480" w:lineRule="auto"/>
        <w:rPr>
          <w:bCs/>
          <w:szCs w:val="28"/>
        </w:rPr>
      </w:pPr>
      <w:r>
        <w:rPr>
          <w:bCs/>
          <w:szCs w:val="28"/>
        </w:rPr>
        <w:t>There is a pretrial notice requirement, at least 3 days before trial, and the court must conduct an in camera hearing to examine the merits of the motion</w:t>
      </w:r>
    </w:p>
    <w:p w14:paraId="5DD7643E" w14:textId="14BB5D82" w:rsidR="0061653F" w:rsidRDefault="0061653F" w:rsidP="0061653F">
      <w:pPr>
        <w:pStyle w:val="ListParaNoIndent"/>
        <w:numPr>
          <w:ilvl w:val="0"/>
          <w:numId w:val="20"/>
        </w:numPr>
        <w:spacing w:line="480" w:lineRule="auto"/>
        <w:rPr>
          <w:bCs/>
          <w:szCs w:val="28"/>
        </w:rPr>
      </w:pPr>
      <w:r>
        <w:rPr>
          <w:bCs/>
          <w:szCs w:val="28"/>
        </w:rPr>
        <w:t>As a practice point, I would suggest that the judge conduct the in camera hearing on the record.  At least get the facts</w:t>
      </w:r>
      <w:r w:rsidR="00ED6A59">
        <w:rPr>
          <w:bCs/>
          <w:szCs w:val="28"/>
        </w:rPr>
        <w:t xml:space="preserve"> being alleged on the record.</w:t>
      </w:r>
    </w:p>
    <w:p w14:paraId="72FF04AA" w14:textId="6C6056D2" w:rsidR="00ED6A59" w:rsidRDefault="00ED6A59" w:rsidP="00ED6A59">
      <w:pPr>
        <w:pStyle w:val="ListParaNoIndent"/>
        <w:numPr>
          <w:ilvl w:val="1"/>
          <w:numId w:val="20"/>
        </w:numPr>
        <w:spacing w:line="480" w:lineRule="auto"/>
        <w:rPr>
          <w:bCs/>
          <w:szCs w:val="28"/>
        </w:rPr>
      </w:pPr>
      <w:r>
        <w:rPr>
          <w:bCs/>
          <w:szCs w:val="28"/>
        </w:rPr>
        <w:t>This is one of those issues where the “bell cannot be un-rung”</w:t>
      </w:r>
      <w:r w:rsidR="00790BC8">
        <w:rPr>
          <w:bCs/>
          <w:szCs w:val="28"/>
        </w:rPr>
        <w:t xml:space="preserve"> when in front of the jury.</w:t>
      </w:r>
      <w:r>
        <w:rPr>
          <w:bCs/>
          <w:szCs w:val="28"/>
        </w:rPr>
        <w:t xml:space="preserve">  Make sure the evidence that the judge is relying on in making the decision are the actual facts and not merely offers of proof by the lawyers—just my suggestion</w:t>
      </w:r>
    </w:p>
    <w:p w14:paraId="3E67F9D8" w14:textId="77777777" w:rsidR="00ED6A59" w:rsidRPr="00BF3489" w:rsidRDefault="00ED6A59" w:rsidP="00ED6A59">
      <w:pPr>
        <w:pStyle w:val="ListParaNoIndent"/>
        <w:numPr>
          <w:ilvl w:val="0"/>
          <w:numId w:val="0"/>
        </w:numPr>
        <w:pBdr>
          <w:bottom w:val="single" w:sz="4" w:space="1" w:color="auto"/>
        </w:pBdr>
        <w:spacing w:line="480" w:lineRule="auto"/>
        <w:rPr>
          <w:bCs/>
          <w:szCs w:val="28"/>
        </w:rPr>
      </w:pPr>
    </w:p>
    <w:p w14:paraId="73101061" w14:textId="77777777" w:rsidR="00BD7CFA" w:rsidRDefault="00BD7CFA" w:rsidP="0046791C">
      <w:pPr>
        <w:pStyle w:val="ListParaNoIndent"/>
        <w:numPr>
          <w:ilvl w:val="0"/>
          <w:numId w:val="0"/>
        </w:numPr>
        <w:spacing w:line="480" w:lineRule="auto"/>
        <w:jc w:val="center"/>
        <w:rPr>
          <w:b/>
          <w:szCs w:val="28"/>
          <w:u w:val="single"/>
        </w:rPr>
      </w:pPr>
    </w:p>
    <w:p w14:paraId="1C9F9E01" w14:textId="52B13376" w:rsidR="0046791C" w:rsidRPr="0046791C" w:rsidRDefault="0046791C" w:rsidP="0046791C">
      <w:pPr>
        <w:pStyle w:val="ListParaNoIndent"/>
        <w:numPr>
          <w:ilvl w:val="0"/>
          <w:numId w:val="0"/>
        </w:numPr>
        <w:spacing w:line="480" w:lineRule="auto"/>
        <w:jc w:val="center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CONCLUSION</w:t>
      </w:r>
    </w:p>
    <w:p w14:paraId="4BEA9963" w14:textId="2976C19E" w:rsidR="00045BD4" w:rsidRPr="00ED6A59" w:rsidRDefault="00ED6A59" w:rsidP="00ED6A59">
      <w:pPr>
        <w:pStyle w:val="ListParaNoIndent"/>
        <w:numPr>
          <w:ilvl w:val="0"/>
          <w:numId w:val="20"/>
        </w:numPr>
        <w:spacing w:line="480" w:lineRule="auto"/>
        <w:rPr>
          <w:b/>
          <w:szCs w:val="28"/>
          <w:u w:val="single"/>
        </w:rPr>
      </w:pPr>
      <w:r>
        <w:rPr>
          <w:szCs w:val="28"/>
        </w:rPr>
        <w:t xml:space="preserve"> We have chosen to make this statutory change known to everyone who listens to the Good Judge-</w:t>
      </w:r>
      <w:proofErr w:type="spellStart"/>
      <w:r>
        <w:rPr>
          <w:szCs w:val="28"/>
        </w:rPr>
        <w:t>ment</w:t>
      </w:r>
      <w:proofErr w:type="spellEnd"/>
      <w:r>
        <w:rPr>
          <w:szCs w:val="28"/>
        </w:rPr>
        <w:t xml:space="preserve"> Podcast.  It is a brand new change which has not yet been litigated in the appellate courts</w:t>
      </w:r>
    </w:p>
    <w:p w14:paraId="4BEE80DF" w14:textId="77E2B450" w:rsidR="00ED6A59" w:rsidRPr="00EF21F0" w:rsidRDefault="00ED6A59" w:rsidP="00ED6A59">
      <w:pPr>
        <w:pStyle w:val="ListParaNoIndent"/>
        <w:numPr>
          <w:ilvl w:val="0"/>
          <w:numId w:val="20"/>
        </w:numPr>
        <w:spacing w:line="480" w:lineRule="auto"/>
        <w:rPr>
          <w:b/>
          <w:szCs w:val="28"/>
          <w:u w:val="single"/>
        </w:rPr>
      </w:pPr>
      <w:r>
        <w:rPr>
          <w:szCs w:val="28"/>
        </w:rPr>
        <w:t xml:space="preserve">But reliance upon prior </w:t>
      </w:r>
      <w:r w:rsidR="00EF21F0">
        <w:rPr>
          <w:szCs w:val="28"/>
        </w:rPr>
        <w:t>cases</w:t>
      </w:r>
      <w:r>
        <w:rPr>
          <w:szCs w:val="28"/>
        </w:rPr>
        <w:t xml:space="preserve">, </w:t>
      </w:r>
      <w:r w:rsidR="00BD7CFA">
        <w:rPr>
          <w:szCs w:val="28"/>
        </w:rPr>
        <w:t xml:space="preserve">even recent cases </w:t>
      </w:r>
      <w:r>
        <w:rPr>
          <w:szCs w:val="28"/>
        </w:rPr>
        <w:t xml:space="preserve">such as </w:t>
      </w:r>
      <w:r>
        <w:rPr>
          <w:i/>
          <w:iCs/>
          <w:szCs w:val="28"/>
        </w:rPr>
        <w:t>White</w:t>
      </w:r>
      <w:r>
        <w:rPr>
          <w:szCs w:val="28"/>
        </w:rPr>
        <w:t xml:space="preserve">, which holds that the only way </w:t>
      </w:r>
      <w:r w:rsidR="00EF21F0">
        <w:rPr>
          <w:szCs w:val="28"/>
        </w:rPr>
        <w:t>the sexual behavior of the victim can be admitted is in an attempt to prove consent, is simply no longer the law.</w:t>
      </w:r>
    </w:p>
    <w:p w14:paraId="15A240FD" w14:textId="2D679202" w:rsidR="00EF21F0" w:rsidRPr="00045BD4" w:rsidRDefault="00EF21F0" w:rsidP="00ED6A59">
      <w:pPr>
        <w:pStyle w:val="ListParaNoIndent"/>
        <w:numPr>
          <w:ilvl w:val="0"/>
          <w:numId w:val="20"/>
        </w:numPr>
        <w:spacing w:line="480" w:lineRule="auto"/>
        <w:rPr>
          <w:b/>
          <w:szCs w:val="28"/>
          <w:u w:val="single"/>
        </w:rPr>
      </w:pPr>
      <w:r>
        <w:rPr>
          <w:szCs w:val="28"/>
        </w:rPr>
        <w:t xml:space="preserve">The legislature rewrote the statute </w:t>
      </w:r>
      <w:r w:rsidR="00BD7CFA">
        <w:rPr>
          <w:szCs w:val="28"/>
        </w:rPr>
        <w:t xml:space="preserve">following the decision in </w:t>
      </w:r>
      <w:r w:rsidR="00BD7CFA" w:rsidRPr="00BD7CFA">
        <w:rPr>
          <w:i/>
          <w:iCs/>
          <w:szCs w:val="28"/>
        </w:rPr>
        <w:t>White</w:t>
      </w:r>
      <w:r w:rsidR="00BD7CFA">
        <w:rPr>
          <w:szCs w:val="28"/>
        </w:rPr>
        <w:t xml:space="preserve">, </w:t>
      </w:r>
      <w:r w:rsidRPr="00BD7CFA">
        <w:rPr>
          <w:szCs w:val="28"/>
        </w:rPr>
        <w:t>and</w:t>
      </w:r>
      <w:r>
        <w:rPr>
          <w:szCs w:val="28"/>
        </w:rPr>
        <w:t xml:space="preserve"> even the 2019 cases were based on the prior version of Rule 412</w:t>
      </w:r>
    </w:p>
    <w:p w14:paraId="004A1626" w14:textId="46B53867" w:rsidR="004E6F9A" w:rsidRPr="004E6F9A" w:rsidRDefault="009E49A1" w:rsidP="004E6F9A">
      <w:pPr>
        <w:pStyle w:val="ListParaNoIndent"/>
        <w:numPr>
          <w:ilvl w:val="0"/>
          <w:numId w:val="0"/>
        </w:numPr>
        <w:spacing w:line="480" w:lineRule="auto"/>
        <w:rPr>
          <w:b/>
          <w:szCs w:val="28"/>
          <w:u w:val="single"/>
        </w:rPr>
      </w:pPr>
      <w:r>
        <w:rPr>
          <w:szCs w:val="28"/>
        </w:rPr>
        <w:pict w14:anchorId="01DAECA5">
          <v:rect id="_x0000_i1029" style="width:0;height:1.5pt" o:hralign="center" o:hrstd="t" o:hr="t" fillcolor="#a0a0a0" stroked="f"/>
        </w:pict>
      </w:r>
    </w:p>
    <w:p w14:paraId="4C920013" w14:textId="77777777" w:rsidR="006E4C53" w:rsidRDefault="006E4C53" w:rsidP="006833E1">
      <w:pPr>
        <w:pStyle w:val="ListParaNoIndent"/>
        <w:numPr>
          <w:ilvl w:val="0"/>
          <w:numId w:val="0"/>
        </w:numPr>
        <w:spacing w:line="480" w:lineRule="auto"/>
        <w:rPr>
          <w:szCs w:val="28"/>
        </w:rPr>
      </w:pPr>
    </w:p>
    <w:p w14:paraId="44E5D125" w14:textId="4B0D1D4C" w:rsidR="00C276B9" w:rsidRPr="00906E00" w:rsidRDefault="00C276B9" w:rsidP="00710DF1">
      <w:pPr>
        <w:pStyle w:val="ListParaNoIndent"/>
        <w:numPr>
          <w:ilvl w:val="0"/>
          <w:numId w:val="0"/>
        </w:numPr>
        <w:spacing w:line="480" w:lineRule="auto"/>
        <w:ind w:left="1170" w:hanging="360"/>
        <w:rPr>
          <w:szCs w:val="28"/>
        </w:rPr>
      </w:pPr>
    </w:p>
    <w:p w14:paraId="7F35FD20" w14:textId="77777777" w:rsidR="005637AD" w:rsidRPr="00906E00" w:rsidRDefault="005637AD">
      <w:pPr>
        <w:rPr>
          <w:sz w:val="28"/>
          <w:szCs w:val="28"/>
        </w:rPr>
      </w:pPr>
    </w:p>
    <w:sectPr w:rsidR="005637AD" w:rsidRPr="00906E00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13668" w14:textId="77777777" w:rsidR="009E49A1" w:rsidRDefault="009E49A1" w:rsidP="00E57DDA">
      <w:pPr>
        <w:spacing w:after="0" w:line="240" w:lineRule="auto"/>
      </w:pPr>
      <w:r>
        <w:separator/>
      </w:r>
    </w:p>
  </w:endnote>
  <w:endnote w:type="continuationSeparator" w:id="0">
    <w:p w14:paraId="64F1EA63" w14:textId="77777777" w:rsidR="009E49A1" w:rsidRDefault="009E49A1" w:rsidP="00E5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C22C" w14:textId="77777777" w:rsidR="00E57DDA" w:rsidRDefault="00E57DDA" w:rsidP="008B2CBA">
    <w:pPr>
      <w:pStyle w:val="Footer"/>
      <w:rPr>
        <w:b w:val="0"/>
        <w:szCs w:val="20"/>
      </w:rPr>
    </w:pPr>
  </w:p>
  <w:p w14:paraId="71630C7D" w14:textId="17C91557" w:rsidR="00E57DDA" w:rsidRDefault="00850E92" w:rsidP="008B2CBA">
    <w:pPr>
      <w:pStyle w:val="Footer"/>
      <w:rPr>
        <w:szCs w:val="20"/>
      </w:rPr>
    </w:pPr>
    <w:r>
      <w:rPr>
        <w:szCs w:val="20"/>
      </w:rPr>
      <w:t>NOTES</w:t>
    </w:r>
    <w:r w:rsidR="00E57DDA">
      <w:rPr>
        <w:szCs w:val="20"/>
      </w:rPr>
      <w:t xml:space="preserve"> FOR </w:t>
    </w:r>
    <w:r w:rsidR="004627C4">
      <w:rPr>
        <w:szCs w:val="20"/>
      </w:rPr>
      <w:t>EVIDENCE ESSENTIALS-</w:t>
    </w:r>
    <w:r w:rsidR="00EA130D">
      <w:rPr>
        <w:szCs w:val="20"/>
      </w:rPr>
      <w:t>RULE 412</w:t>
    </w:r>
    <w:r w:rsidR="00346D9E">
      <w:rPr>
        <w:szCs w:val="20"/>
      </w:rPr>
      <w:t xml:space="preserve"> </w:t>
    </w:r>
  </w:p>
  <w:p w14:paraId="7FE31702" w14:textId="2ED9442D" w:rsidR="00E57DDA" w:rsidRDefault="00EA130D" w:rsidP="008B2CBA">
    <w:pPr>
      <w:pStyle w:val="Footer"/>
      <w:rPr>
        <w:b w:val="0"/>
        <w:szCs w:val="20"/>
      </w:rPr>
    </w:pPr>
    <w:r>
      <w:rPr>
        <w:szCs w:val="20"/>
      </w:rPr>
      <w:t>9/19</w:t>
    </w:r>
    <w:r w:rsidR="00E57DDA">
      <w:rPr>
        <w:szCs w:val="20"/>
      </w:rPr>
      <w:t>/2019</w:t>
    </w:r>
  </w:p>
  <w:p w14:paraId="45F6B4D1" w14:textId="2C43703B" w:rsidR="00E57DDA" w:rsidRDefault="00E57DDA" w:rsidP="00367E4A">
    <w:pPr>
      <w:pStyle w:val="Footer"/>
    </w:pPr>
    <w:r>
      <w:rPr>
        <w:szCs w:val="20"/>
      </w:rPr>
      <w:t xml:space="preserve">PAGE </w:t>
    </w:r>
    <w:r>
      <w:rPr>
        <w:b w:val="0"/>
        <w:szCs w:val="20"/>
      </w:rPr>
      <w:fldChar w:fldCharType="begin"/>
    </w:r>
    <w:r>
      <w:rPr>
        <w:szCs w:val="20"/>
      </w:rPr>
      <w:instrText xml:space="preserve"> PAGE  \* Arabic  \* MERGEFORMAT </w:instrText>
    </w:r>
    <w:r>
      <w:rPr>
        <w:b w:val="0"/>
        <w:szCs w:val="20"/>
      </w:rPr>
      <w:fldChar w:fldCharType="separate"/>
    </w:r>
    <w:r w:rsidR="00B93E22">
      <w:rPr>
        <w:noProof/>
        <w:szCs w:val="20"/>
      </w:rPr>
      <w:t>3</w:t>
    </w:r>
    <w:r>
      <w:rPr>
        <w:b w:val="0"/>
        <w:szCs w:val="20"/>
      </w:rPr>
      <w:fldChar w:fldCharType="end"/>
    </w:r>
    <w:r>
      <w:rPr>
        <w:szCs w:val="20"/>
      </w:rPr>
      <w:t xml:space="preserve"> OF </w:t>
    </w:r>
    <w:r>
      <w:rPr>
        <w:b w:val="0"/>
        <w:szCs w:val="20"/>
      </w:rPr>
      <w:fldChar w:fldCharType="begin"/>
    </w:r>
    <w:r>
      <w:rPr>
        <w:szCs w:val="20"/>
      </w:rPr>
      <w:instrText xml:space="preserve"> NUMPAGES  \* Arabic  \* MERGEFORMAT </w:instrText>
    </w:r>
    <w:r>
      <w:rPr>
        <w:b w:val="0"/>
        <w:szCs w:val="20"/>
      </w:rPr>
      <w:fldChar w:fldCharType="separate"/>
    </w:r>
    <w:r w:rsidR="00B93E22">
      <w:rPr>
        <w:noProof/>
        <w:szCs w:val="20"/>
      </w:rPr>
      <w:t>11</w:t>
    </w:r>
    <w:r>
      <w:rPr>
        <w:b w:val="0"/>
        <w:szCs w:val="20"/>
      </w:rPr>
      <w:fldChar w:fldCharType="end"/>
    </w:r>
  </w:p>
  <w:p w14:paraId="248390F7" w14:textId="77777777" w:rsidR="00E57DDA" w:rsidRDefault="00E57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790CA" w14:textId="77777777" w:rsidR="009E49A1" w:rsidRDefault="009E49A1" w:rsidP="00E57DDA">
      <w:pPr>
        <w:spacing w:after="0" w:line="240" w:lineRule="auto"/>
      </w:pPr>
      <w:r>
        <w:separator/>
      </w:r>
    </w:p>
  </w:footnote>
  <w:footnote w:type="continuationSeparator" w:id="0">
    <w:p w14:paraId="78DEEC96" w14:textId="77777777" w:rsidR="009E49A1" w:rsidRDefault="009E49A1" w:rsidP="00E57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8" style="width:0;height:1.5pt" o:hralign="center" o:bullet="t" o:hrstd="t" o:hr="t" fillcolor="#a0a0a0" stroked="f"/>
    </w:pict>
  </w:numPicBullet>
  <w:abstractNum w:abstractNumId="0" w15:restartNumberingAfterBreak="0">
    <w:nsid w:val="002B2355"/>
    <w:multiLevelType w:val="multilevel"/>
    <w:tmpl w:val="C75A3C70"/>
    <w:styleLink w:val="JordiesClass"/>
    <w:lvl w:ilvl="0">
      <w:start w:val="1"/>
      <w:numFmt w:val="decimal"/>
      <w:lvlText w:val="%1)"/>
      <w:lvlJc w:val="left"/>
      <w:pPr>
        <w:tabs>
          <w:tab w:val="num" w:pos="144"/>
        </w:tabs>
        <w:ind w:left="0" w:firstLine="0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D80C39"/>
    <w:multiLevelType w:val="hybridMultilevel"/>
    <w:tmpl w:val="DD80F322"/>
    <w:lvl w:ilvl="0" w:tplc="FFC60594">
      <w:start w:val="1"/>
      <w:numFmt w:val="decimal"/>
      <w:pStyle w:val="ListParaNoIndent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B19EF"/>
    <w:multiLevelType w:val="multilevel"/>
    <w:tmpl w:val="30E0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6E7F74"/>
    <w:multiLevelType w:val="multilevel"/>
    <w:tmpl w:val="F0A80EEE"/>
    <w:styleLink w:val="BigPaper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8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suff w:val="space"/>
      <w:lvlText w:val="%2.1"/>
      <w:lvlJc w:val="left"/>
      <w:pPr>
        <w:ind w:left="108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isLgl/>
      <w:suff w:val="space"/>
      <w:lvlText w:val="%3.1.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4" w15:restartNumberingAfterBreak="0">
    <w:nsid w:val="09F352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BD3FAA"/>
    <w:multiLevelType w:val="multilevel"/>
    <w:tmpl w:val="FA5067AE"/>
    <w:styleLink w:val="Style2"/>
    <w:lvl w:ilvl="0">
      <w:start w:val="1"/>
      <w:numFmt w:val="decimal"/>
      <w:isLgl/>
      <w:suff w:val="space"/>
      <w:lvlText w:val="%1"/>
      <w:lvlJc w:val="left"/>
      <w:pPr>
        <w:ind w:left="360" w:hanging="360"/>
      </w:pPr>
      <w:rPr>
        <w:rFonts w:asciiTheme="majorHAnsi" w:hAnsiTheme="majorHAnsi" w:hint="default"/>
        <w:b/>
        <w:i w:val="0"/>
        <w:color w:val="auto"/>
        <w:sz w:val="28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2342E9C"/>
    <w:multiLevelType w:val="hybridMultilevel"/>
    <w:tmpl w:val="6F08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3A9C"/>
    <w:multiLevelType w:val="multilevel"/>
    <w:tmpl w:val="A8206314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0" w:firstLine="0"/>
      </w:pPr>
      <w:rPr>
        <w:rFonts w:asciiTheme="majorHAnsi" w:hAnsiTheme="majorHAnsi" w:hint="default"/>
        <w:b/>
        <w:i w:val="0"/>
        <w:color w:val="auto"/>
        <w:sz w:val="28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4D9350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336328"/>
    <w:multiLevelType w:val="hybridMultilevel"/>
    <w:tmpl w:val="A37C715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7FD56DF"/>
    <w:multiLevelType w:val="hybridMultilevel"/>
    <w:tmpl w:val="018A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A1CAD"/>
    <w:multiLevelType w:val="multilevel"/>
    <w:tmpl w:val="58B6A87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D774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92B2F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7"/>
  </w:num>
  <w:num w:numId="15">
    <w:abstractNumId w:val="2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1"/>
  </w:num>
  <w:num w:numId="21">
    <w:abstractNumId w:val="12"/>
  </w:num>
  <w:num w:numId="22">
    <w:abstractNumId w:val="13"/>
  </w:num>
  <w:num w:numId="23">
    <w:abstractNumId w:val="4"/>
  </w:num>
  <w:num w:numId="24">
    <w:abstractNumId w:val="8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6"/>
  </w:num>
  <w:num w:numId="35">
    <w:abstractNumId w:val="1"/>
  </w:num>
  <w:num w:numId="36">
    <w:abstractNumId w:val="1"/>
  </w:num>
  <w:num w:numId="37">
    <w:abstractNumId w:val="9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DA"/>
    <w:rsid w:val="00024E0A"/>
    <w:rsid w:val="00045BD4"/>
    <w:rsid w:val="00082EAF"/>
    <w:rsid w:val="00082F4B"/>
    <w:rsid w:val="000B428E"/>
    <w:rsid w:val="000C2BBB"/>
    <w:rsid w:val="000C367D"/>
    <w:rsid w:val="001336A7"/>
    <w:rsid w:val="001354D7"/>
    <w:rsid w:val="00147F5A"/>
    <w:rsid w:val="001757E4"/>
    <w:rsid w:val="00183812"/>
    <w:rsid w:val="001A2170"/>
    <w:rsid w:val="001A41D7"/>
    <w:rsid w:val="001E2F1D"/>
    <w:rsid w:val="001F61EB"/>
    <w:rsid w:val="00223D17"/>
    <w:rsid w:val="00231243"/>
    <w:rsid w:val="002404C3"/>
    <w:rsid w:val="00241844"/>
    <w:rsid w:val="002469E5"/>
    <w:rsid w:val="00251645"/>
    <w:rsid w:val="002958AA"/>
    <w:rsid w:val="002B1AF7"/>
    <w:rsid w:val="002B4E05"/>
    <w:rsid w:val="002B5F37"/>
    <w:rsid w:val="002F3CC9"/>
    <w:rsid w:val="00302AD4"/>
    <w:rsid w:val="00346D9E"/>
    <w:rsid w:val="003A1BF4"/>
    <w:rsid w:val="003A36C9"/>
    <w:rsid w:val="003B2D6C"/>
    <w:rsid w:val="003C0226"/>
    <w:rsid w:val="003D5AF4"/>
    <w:rsid w:val="003E1CBE"/>
    <w:rsid w:val="00402886"/>
    <w:rsid w:val="00402AA7"/>
    <w:rsid w:val="00460A2A"/>
    <w:rsid w:val="004627C4"/>
    <w:rsid w:val="0046791C"/>
    <w:rsid w:val="004E0C05"/>
    <w:rsid w:val="004E6F9A"/>
    <w:rsid w:val="004F5152"/>
    <w:rsid w:val="00513E98"/>
    <w:rsid w:val="00527FF4"/>
    <w:rsid w:val="00550418"/>
    <w:rsid w:val="005637AD"/>
    <w:rsid w:val="00585ACF"/>
    <w:rsid w:val="005B4FB4"/>
    <w:rsid w:val="005B72DF"/>
    <w:rsid w:val="005C045D"/>
    <w:rsid w:val="005D2609"/>
    <w:rsid w:val="005D57AF"/>
    <w:rsid w:val="00603B24"/>
    <w:rsid w:val="00605BF2"/>
    <w:rsid w:val="0061653F"/>
    <w:rsid w:val="00634CD2"/>
    <w:rsid w:val="00635901"/>
    <w:rsid w:val="0064023B"/>
    <w:rsid w:val="00653FAD"/>
    <w:rsid w:val="006833E1"/>
    <w:rsid w:val="006B0107"/>
    <w:rsid w:val="006B61DB"/>
    <w:rsid w:val="006B6476"/>
    <w:rsid w:val="006C4671"/>
    <w:rsid w:val="006E4C53"/>
    <w:rsid w:val="006F452E"/>
    <w:rsid w:val="007036BE"/>
    <w:rsid w:val="00710DF1"/>
    <w:rsid w:val="00727788"/>
    <w:rsid w:val="007304F0"/>
    <w:rsid w:val="007669ED"/>
    <w:rsid w:val="007756DA"/>
    <w:rsid w:val="00785C5A"/>
    <w:rsid w:val="00790BC8"/>
    <w:rsid w:val="00795150"/>
    <w:rsid w:val="007F4A9B"/>
    <w:rsid w:val="008239A5"/>
    <w:rsid w:val="00850E92"/>
    <w:rsid w:val="008551FC"/>
    <w:rsid w:val="008973E2"/>
    <w:rsid w:val="008B3A8C"/>
    <w:rsid w:val="008D1754"/>
    <w:rsid w:val="008D3529"/>
    <w:rsid w:val="008E5576"/>
    <w:rsid w:val="00906E00"/>
    <w:rsid w:val="009072E0"/>
    <w:rsid w:val="00907663"/>
    <w:rsid w:val="00920081"/>
    <w:rsid w:val="00925ADE"/>
    <w:rsid w:val="00953C9A"/>
    <w:rsid w:val="009578B7"/>
    <w:rsid w:val="00993028"/>
    <w:rsid w:val="00995D31"/>
    <w:rsid w:val="009C0069"/>
    <w:rsid w:val="009D4EA0"/>
    <w:rsid w:val="009E1BE5"/>
    <w:rsid w:val="009E49A1"/>
    <w:rsid w:val="009E4B5F"/>
    <w:rsid w:val="009E5EC7"/>
    <w:rsid w:val="009E6BAA"/>
    <w:rsid w:val="009F7BF5"/>
    <w:rsid w:val="00A034E6"/>
    <w:rsid w:val="00A13E99"/>
    <w:rsid w:val="00A65A5A"/>
    <w:rsid w:val="00A770EE"/>
    <w:rsid w:val="00A87855"/>
    <w:rsid w:val="00AA5246"/>
    <w:rsid w:val="00B81FD9"/>
    <w:rsid w:val="00B93E22"/>
    <w:rsid w:val="00BC5962"/>
    <w:rsid w:val="00BC64B8"/>
    <w:rsid w:val="00BD054B"/>
    <w:rsid w:val="00BD7CFA"/>
    <w:rsid w:val="00BE5A7B"/>
    <w:rsid w:val="00BF3489"/>
    <w:rsid w:val="00BF3FC4"/>
    <w:rsid w:val="00C01992"/>
    <w:rsid w:val="00C077FE"/>
    <w:rsid w:val="00C07D28"/>
    <w:rsid w:val="00C276B9"/>
    <w:rsid w:val="00C354EB"/>
    <w:rsid w:val="00C45932"/>
    <w:rsid w:val="00C47579"/>
    <w:rsid w:val="00C6002C"/>
    <w:rsid w:val="00C9598D"/>
    <w:rsid w:val="00C9653B"/>
    <w:rsid w:val="00CA0FB9"/>
    <w:rsid w:val="00CC1D7B"/>
    <w:rsid w:val="00CD4F49"/>
    <w:rsid w:val="00CE0689"/>
    <w:rsid w:val="00D14159"/>
    <w:rsid w:val="00D2287D"/>
    <w:rsid w:val="00D6099F"/>
    <w:rsid w:val="00D729F6"/>
    <w:rsid w:val="00D87D71"/>
    <w:rsid w:val="00DC5CA5"/>
    <w:rsid w:val="00DD4ABE"/>
    <w:rsid w:val="00DD4F54"/>
    <w:rsid w:val="00DE2733"/>
    <w:rsid w:val="00DF09C5"/>
    <w:rsid w:val="00E14F08"/>
    <w:rsid w:val="00E33741"/>
    <w:rsid w:val="00E37225"/>
    <w:rsid w:val="00E467CF"/>
    <w:rsid w:val="00E51163"/>
    <w:rsid w:val="00E57DDA"/>
    <w:rsid w:val="00EA130D"/>
    <w:rsid w:val="00EA5CD6"/>
    <w:rsid w:val="00EB2917"/>
    <w:rsid w:val="00EB29F1"/>
    <w:rsid w:val="00EB586B"/>
    <w:rsid w:val="00EB7321"/>
    <w:rsid w:val="00EC1EC3"/>
    <w:rsid w:val="00ED5C79"/>
    <w:rsid w:val="00ED6A59"/>
    <w:rsid w:val="00EF21F0"/>
    <w:rsid w:val="00EF620B"/>
    <w:rsid w:val="00F11A4B"/>
    <w:rsid w:val="00F23056"/>
    <w:rsid w:val="00F27487"/>
    <w:rsid w:val="00F420A9"/>
    <w:rsid w:val="00F42A78"/>
    <w:rsid w:val="00F60D01"/>
    <w:rsid w:val="00FA0929"/>
    <w:rsid w:val="00FB3802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FF9F"/>
  <w15:chartTrackingRefBased/>
  <w15:docId w15:val="{A1E98733-2D4D-4A57-839C-75A83A8F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line="276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4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57DDA"/>
  </w:style>
  <w:style w:type="paragraph" w:styleId="Heading1">
    <w:name w:val="heading 1"/>
    <w:basedOn w:val="Normal"/>
    <w:link w:val="Heading1Char"/>
    <w:uiPriority w:val="3"/>
    <w:qFormat/>
    <w:rsid w:val="002404C3"/>
    <w:pPr>
      <w:keepNext/>
      <w:keepLines/>
      <w:numPr>
        <w:numId w:val="14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4"/>
    <w:qFormat/>
    <w:rsid w:val="002404C3"/>
    <w:pPr>
      <w:keepNext/>
      <w:numPr>
        <w:ilvl w:val="1"/>
        <w:numId w:val="14"/>
      </w:numPr>
      <w:spacing w:before="240" w:after="24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link w:val="Heading3Char"/>
    <w:uiPriority w:val="5"/>
    <w:qFormat/>
    <w:rsid w:val="002404C3"/>
    <w:pPr>
      <w:keepNext/>
      <w:numPr>
        <w:ilvl w:val="2"/>
        <w:numId w:val="15"/>
      </w:numPr>
      <w:spacing w:before="240" w:after="240" w:line="240" w:lineRule="auto"/>
      <w:ind w:firstLine="0"/>
      <w:jc w:val="center"/>
      <w:outlineLvl w:val="2"/>
    </w:pPr>
    <w:rPr>
      <w:rFonts w:eastAsiaTheme="majorEastAsia" w:cstheme="majorBidi"/>
      <w:b/>
      <w:u w:val="single"/>
    </w:rPr>
  </w:style>
  <w:style w:type="paragraph" w:styleId="Heading4">
    <w:name w:val="heading 4"/>
    <w:basedOn w:val="Normal"/>
    <w:link w:val="Heading4Char"/>
    <w:autoRedefine/>
    <w:uiPriority w:val="6"/>
    <w:qFormat/>
    <w:rsid w:val="008D3529"/>
    <w:pPr>
      <w:keepNext/>
      <w:keepLines/>
      <w:framePr w:wrap="notBeside" w:hAnchor="text"/>
      <w:spacing w:before="40"/>
      <w:jc w:val="center"/>
      <w:outlineLvl w:val="3"/>
    </w:pPr>
    <w:rPr>
      <w:rFonts w:asciiTheme="majorHAnsi" w:eastAsiaTheme="majorEastAsia" w:hAnsiTheme="majorHAnsi" w:cstheme="majorBidi"/>
      <w:b/>
      <w:iCs/>
      <w:u w:val="single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D3529"/>
    <w:pPr>
      <w:keepNext/>
      <w:keepLines/>
      <w:framePr w:wrap="notBeside" w:hAnchor="text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"/>
    <w:qFormat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3D5AF4"/>
    <w:pPr>
      <w:keepLines/>
      <w:framePr w:wrap="notBeside" w:hAnchor="text"/>
      <w:spacing w:after="120" w:line="240" w:lineRule="auto"/>
      <w:ind w:left="360" w:hanging="360"/>
    </w:pPr>
    <w:rPr>
      <w:sz w:val="2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D5AF4"/>
    <w:rPr>
      <w:sz w:val="28"/>
    </w:rPr>
  </w:style>
  <w:style w:type="character" w:styleId="EndnoteReference">
    <w:name w:val="endnote reference"/>
    <w:basedOn w:val="DefaultParagraphFont"/>
    <w:uiPriority w:val="14"/>
    <w:qFormat/>
    <w:rsid w:val="00F11A4B"/>
    <w:rPr>
      <w:rFonts w:ascii="Times New Roman" w:hAnsi="Times New Roman"/>
      <w:b/>
      <w:color w:val="auto"/>
      <w:sz w:val="28"/>
      <w:vertAlign w:val="superscript"/>
    </w:rPr>
  </w:style>
  <w:style w:type="table" w:styleId="TableGrid">
    <w:name w:val="Table Grid"/>
    <w:basedOn w:val="TableNormal"/>
    <w:uiPriority w:val="59"/>
    <w:rsid w:val="008D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Quote">
    <w:name w:val="Legal Quote"/>
    <w:basedOn w:val="Normal"/>
    <w:uiPriority w:val="1"/>
    <w:qFormat/>
    <w:rsid w:val="008D3529"/>
    <w:pPr>
      <w:autoSpaceDE w:val="0"/>
      <w:autoSpaceDN w:val="0"/>
      <w:adjustRightInd w:val="0"/>
      <w:spacing w:after="0" w:line="240" w:lineRule="auto"/>
      <w:ind w:left="720" w:right="720" w:firstLine="0"/>
      <w:jc w:val="both"/>
    </w:pPr>
    <w:rPr>
      <w:rFonts w:eastAsiaTheme="minorEastAsia"/>
    </w:rPr>
  </w:style>
  <w:style w:type="paragraph" w:customStyle="1" w:styleId="TableParagraph">
    <w:name w:val="Table Paragraph"/>
    <w:basedOn w:val="Normal"/>
    <w:autoRedefine/>
    <w:uiPriority w:val="7"/>
    <w:qFormat/>
    <w:rsid w:val="008D3529"/>
    <w:pPr>
      <w:keepNext/>
      <w:keepLines/>
      <w:framePr w:wrap="notBeside" w:hAnchor="text"/>
      <w:spacing w:after="0" w:line="240" w:lineRule="auto"/>
    </w:pPr>
  </w:style>
  <w:style w:type="paragraph" w:customStyle="1" w:styleId="Style1">
    <w:name w:val="Style1"/>
    <w:basedOn w:val="Normal"/>
    <w:autoRedefine/>
    <w:uiPriority w:val="24"/>
    <w:qFormat/>
    <w:rsid w:val="008D3529"/>
    <w:pPr>
      <w:framePr w:wrap="notBeside" w:hAnchor="text"/>
    </w:pPr>
    <w:rPr>
      <w:position w:val="9"/>
      <w:sz w:val="20"/>
    </w:rPr>
  </w:style>
  <w:style w:type="paragraph" w:customStyle="1" w:styleId="Footnote">
    <w:name w:val="Footnote"/>
    <w:basedOn w:val="Normal"/>
    <w:autoRedefine/>
    <w:uiPriority w:val="1"/>
    <w:qFormat/>
    <w:rsid w:val="008D3529"/>
    <w:pPr>
      <w:keepLines/>
      <w:framePr w:wrap="notBeside" w:hAnchor="text"/>
    </w:pPr>
    <w:rPr>
      <w:sz w:val="20"/>
    </w:rPr>
  </w:style>
  <w:style w:type="numbering" w:customStyle="1" w:styleId="JordiesClass">
    <w:name w:val="Jordie's Class"/>
    <w:uiPriority w:val="99"/>
    <w:rsid w:val="008D3529"/>
    <w:pPr>
      <w:numPr>
        <w:numId w:val="1"/>
      </w:numPr>
    </w:pPr>
  </w:style>
  <w:style w:type="paragraph" w:customStyle="1" w:styleId="17">
    <w:name w:val="_17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16">
    <w:name w:val="_16"/>
    <w:uiPriority w:val="99"/>
    <w:rsid w:val="008D352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eastAsiaTheme="minorEastAsia"/>
    </w:rPr>
  </w:style>
  <w:style w:type="paragraph" w:customStyle="1" w:styleId="15">
    <w:name w:val="_15"/>
    <w:uiPriority w:val="99"/>
    <w:rsid w:val="008D352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eastAsiaTheme="minorEastAsia"/>
    </w:rPr>
  </w:style>
  <w:style w:type="paragraph" w:customStyle="1" w:styleId="14">
    <w:name w:val="_14"/>
    <w:uiPriority w:val="99"/>
    <w:rsid w:val="008D352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eastAsiaTheme="minorEastAsia"/>
    </w:rPr>
  </w:style>
  <w:style w:type="paragraph" w:customStyle="1" w:styleId="13">
    <w:name w:val="_13"/>
    <w:uiPriority w:val="99"/>
    <w:rsid w:val="008D352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eastAsiaTheme="minorEastAsia"/>
    </w:rPr>
  </w:style>
  <w:style w:type="paragraph" w:customStyle="1" w:styleId="12">
    <w:name w:val="_12"/>
    <w:uiPriority w:val="99"/>
    <w:rsid w:val="008D352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eastAsiaTheme="minorEastAsia"/>
    </w:rPr>
  </w:style>
  <w:style w:type="paragraph" w:customStyle="1" w:styleId="11">
    <w:name w:val="_11"/>
    <w:uiPriority w:val="99"/>
    <w:rsid w:val="008D352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eastAsiaTheme="minorEastAsia"/>
    </w:rPr>
  </w:style>
  <w:style w:type="paragraph" w:customStyle="1" w:styleId="10">
    <w:name w:val="_10"/>
    <w:uiPriority w:val="99"/>
    <w:rsid w:val="008D352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eastAsiaTheme="minorEastAsia"/>
    </w:rPr>
  </w:style>
  <w:style w:type="paragraph" w:customStyle="1" w:styleId="Level9">
    <w:name w:val="Level 9"/>
    <w:uiPriority w:val="99"/>
    <w:rsid w:val="008D3529"/>
    <w:pPr>
      <w:widowControl w:val="0"/>
      <w:autoSpaceDE w:val="0"/>
      <w:autoSpaceDN w:val="0"/>
      <w:adjustRightInd w:val="0"/>
      <w:ind w:left="-1440"/>
      <w:jc w:val="both"/>
    </w:pPr>
    <w:rPr>
      <w:rFonts w:eastAsiaTheme="minorEastAsia"/>
      <w:b/>
      <w:bCs/>
    </w:rPr>
  </w:style>
  <w:style w:type="paragraph" w:customStyle="1" w:styleId="26">
    <w:name w:val="_26"/>
    <w:uiPriority w:val="99"/>
    <w:rsid w:val="008D3529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25">
    <w:name w:val="_25"/>
    <w:uiPriority w:val="99"/>
    <w:rsid w:val="008D352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eastAsiaTheme="minorEastAsia"/>
    </w:rPr>
  </w:style>
  <w:style w:type="paragraph" w:customStyle="1" w:styleId="24">
    <w:name w:val="_24"/>
    <w:uiPriority w:val="99"/>
    <w:rsid w:val="008D352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eastAsiaTheme="minorEastAsia"/>
    </w:rPr>
  </w:style>
  <w:style w:type="paragraph" w:customStyle="1" w:styleId="23">
    <w:name w:val="_23"/>
    <w:uiPriority w:val="99"/>
    <w:rsid w:val="008D352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eastAsiaTheme="minorEastAsia"/>
    </w:rPr>
  </w:style>
  <w:style w:type="paragraph" w:customStyle="1" w:styleId="22">
    <w:name w:val="_22"/>
    <w:uiPriority w:val="99"/>
    <w:rsid w:val="008D352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eastAsiaTheme="minorEastAsia"/>
    </w:rPr>
  </w:style>
  <w:style w:type="paragraph" w:customStyle="1" w:styleId="21">
    <w:name w:val="_21"/>
    <w:uiPriority w:val="99"/>
    <w:rsid w:val="008D352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eastAsiaTheme="minorEastAsia"/>
    </w:rPr>
  </w:style>
  <w:style w:type="paragraph" w:customStyle="1" w:styleId="20">
    <w:name w:val="_20"/>
    <w:uiPriority w:val="99"/>
    <w:rsid w:val="008D352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eastAsiaTheme="minorEastAsia"/>
    </w:rPr>
  </w:style>
  <w:style w:type="paragraph" w:customStyle="1" w:styleId="19">
    <w:name w:val="_19"/>
    <w:uiPriority w:val="99"/>
    <w:rsid w:val="008D352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eastAsiaTheme="minorEastAsia"/>
    </w:rPr>
  </w:style>
  <w:style w:type="paragraph" w:customStyle="1" w:styleId="18">
    <w:name w:val="_18"/>
    <w:uiPriority w:val="99"/>
    <w:rsid w:val="008D352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eastAsiaTheme="minorEastAsia"/>
    </w:rPr>
  </w:style>
  <w:style w:type="paragraph" w:customStyle="1" w:styleId="9">
    <w:name w:val="_9"/>
    <w:uiPriority w:val="99"/>
    <w:rsid w:val="008D352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eastAsiaTheme="minorEastAsia"/>
    </w:rPr>
  </w:style>
  <w:style w:type="paragraph" w:customStyle="1" w:styleId="8">
    <w:name w:val="_8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7">
    <w:name w:val="_7"/>
    <w:uiPriority w:val="99"/>
    <w:rsid w:val="008D352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eastAsiaTheme="minorEastAsia"/>
    </w:rPr>
  </w:style>
  <w:style w:type="paragraph" w:customStyle="1" w:styleId="6">
    <w:name w:val="_6"/>
    <w:uiPriority w:val="99"/>
    <w:rsid w:val="008D352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eastAsiaTheme="minorEastAsia"/>
    </w:rPr>
  </w:style>
  <w:style w:type="paragraph" w:customStyle="1" w:styleId="5">
    <w:name w:val="_5"/>
    <w:uiPriority w:val="99"/>
    <w:rsid w:val="008D352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eastAsiaTheme="minorEastAsia"/>
    </w:rPr>
  </w:style>
  <w:style w:type="paragraph" w:customStyle="1" w:styleId="4">
    <w:name w:val="_4"/>
    <w:uiPriority w:val="99"/>
    <w:rsid w:val="008D352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eastAsiaTheme="minorEastAsia"/>
    </w:rPr>
  </w:style>
  <w:style w:type="paragraph" w:customStyle="1" w:styleId="3">
    <w:name w:val="_3"/>
    <w:uiPriority w:val="99"/>
    <w:rsid w:val="008D352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eastAsiaTheme="minorEastAsia"/>
    </w:rPr>
  </w:style>
  <w:style w:type="paragraph" w:customStyle="1" w:styleId="2">
    <w:name w:val="_2"/>
    <w:uiPriority w:val="99"/>
    <w:rsid w:val="008D352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eastAsiaTheme="minorEastAsia"/>
    </w:rPr>
  </w:style>
  <w:style w:type="paragraph" w:customStyle="1" w:styleId="1">
    <w:name w:val="_1"/>
    <w:uiPriority w:val="99"/>
    <w:rsid w:val="008D352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eastAsiaTheme="minorEastAsia"/>
    </w:rPr>
  </w:style>
  <w:style w:type="paragraph" w:customStyle="1" w:styleId="a">
    <w:name w:val="_"/>
    <w:uiPriority w:val="99"/>
    <w:rsid w:val="008D352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eastAsiaTheme="minorEastAsia"/>
    </w:rPr>
  </w:style>
  <w:style w:type="paragraph" w:customStyle="1" w:styleId="DefinitionT">
    <w:name w:val="Definition T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DefinitionL">
    <w:name w:val="Definition L"/>
    <w:uiPriority w:val="99"/>
    <w:rsid w:val="008D352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eastAsiaTheme="minorEastAsia"/>
    </w:rPr>
  </w:style>
  <w:style w:type="character" w:customStyle="1" w:styleId="Definition">
    <w:name w:val="Definition"/>
    <w:uiPriority w:val="99"/>
    <w:rsid w:val="008D3529"/>
    <w:rPr>
      <w:i/>
      <w:iCs/>
    </w:rPr>
  </w:style>
  <w:style w:type="paragraph" w:customStyle="1" w:styleId="H1">
    <w:name w:val="H1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  <w:sz w:val="48"/>
      <w:szCs w:val="48"/>
    </w:rPr>
  </w:style>
  <w:style w:type="paragraph" w:customStyle="1" w:styleId="H2">
    <w:name w:val="H2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  <w:sz w:val="36"/>
      <w:szCs w:val="36"/>
    </w:rPr>
  </w:style>
  <w:style w:type="paragraph" w:customStyle="1" w:styleId="H3">
    <w:name w:val="H3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  <w:sz w:val="28"/>
      <w:szCs w:val="28"/>
    </w:rPr>
  </w:style>
  <w:style w:type="paragraph" w:customStyle="1" w:styleId="H4">
    <w:name w:val="H4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</w:rPr>
  </w:style>
  <w:style w:type="paragraph" w:customStyle="1" w:styleId="H5">
    <w:name w:val="H5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  <w:sz w:val="20"/>
      <w:szCs w:val="20"/>
    </w:rPr>
  </w:style>
  <w:style w:type="paragraph" w:customStyle="1" w:styleId="H6">
    <w:name w:val="H6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  <w:sz w:val="16"/>
      <w:szCs w:val="16"/>
    </w:rPr>
  </w:style>
  <w:style w:type="paragraph" w:customStyle="1" w:styleId="Address">
    <w:name w:val="Address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i/>
      <w:iCs/>
    </w:rPr>
  </w:style>
  <w:style w:type="paragraph" w:customStyle="1" w:styleId="Blockquote">
    <w:name w:val="Blockquote"/>
    <w:uiPriority w:val="99"/>
    <w:rsid w:val="008D352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eastAsiaTheme="minorEastAsia"/>
    </w:rPr>
  </w:style>
  <w:style w:type="character" w:customStyle="1" w:styleId="CITE">
    <w:name w:val="CITE"/>
    <w:uiPriority w:val="99"/>
    <w:rsid w:val="008D3529"/>
    <w:rPr>
      <w:i/>
      <w:iCs/>
    </w:rPr>
  </w:style>
  <w:style w:type="character" w:customStyle="1" w:styleId="CODE">
    <w:name w:val="CODE"/>
    <w:uiPriority w:val="99"/>
    <w:rsid w:val="008D3529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uiPriority w:val="99"/>
    <w:rsid w:val="008D3529"/>
    <w:rPr>
      <w:color w:val="800080"/>
      <w:u w:val="single"/>
    </w:rPr>
  </w:style>
  <w:style w:type="character" w:customStyle="1" w:styleId="Keyboard">
    <w:name w:val="Keyboard"/>
    <w:uiPriority w:val="99"/>
    <w:rsid w:val="008D352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rsid w:val="008D352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zBottomof">
    <w:name w:val="zBottom of"/>
    <w:uiPriority w:val="99"/>
    <w:rsid w:val="008D352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zTopofFor">
    <w:name w:val="zTop of For"/>
    <w:uiPriority w:val="99"/>
    <w:rsid w:val="008D352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Theme="minorEastAsia" w:hAnsi="Arial" w:cs="Arial"/>
      <w:sz w:val="16"/>
      <w:szCs w:val="16"/>
    </w:rPr>
  </w:style>
  <w:style w:type="character" w:customStyle="1" w:styleId="Sample">
    <w:name w:val="Sample"/>
    <w:uiPriority w:val="99"/>
    <w:rsid w:val="008D3529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8D352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8D3529"/>
    <w:rPr>
      <w:i/>
      <w:iCs/>
    </w:rPr>
  </w:style>
  <w:style w:type="character" w:customStyle="1" w:styleId="HTMLMarkup">
    <w:name w:val="HTML Markup"/>
    <w:uiPriority w:val="99"/>
    <w:rsid w:val="008D3529"/>
    <w:rPr>
      <w:vanish/>
      <w:color w:val="FF0000"/>
    </w:rPr>
  </w:style>
  <w:style w:type="character" w:customStyle="1" w:styleId="Comment">
    <w:name w:val="Comment"/>
    <w:uiPriority w:val="99"/>
    <w:rsid w:val="008D3529"/>
  </w:style>
  <w:style w:type="character" w:customStyle="1" w:styleId="DefaultPara">
    <w:name w:val="Default Para"/>
    <w:uiPriority w:val="99"/>
    <w:rsid w:val="008D3529"/>
  </w:style>
  <w:style w:type="character" w:customStyle="1" w:styleId="cosearchterm">
    <w:name w:val="co_searchterm"/>
    <w:basedOn w:val="DefaultParagraphFont"/>
    <w:uiPriority w:val="99"/>
    <w:rsid w:val="008D3529"/>
  </w:style>
  <w:style w:type="character" w:customStyle="1" w:styleId="costarpage">
    <w:name w:val="co_starpage"/>
    <w:basedOn w:val="DefaultParagraphFont"/>
    <w:uiPriority w:val="99"/>
    <w:rsid w:val="008D3529"/>
  </w:style>
  <w:style w:type="character" w:customStyle="1" w:styleId="counderline">
    <w:name w:val="co_underline"/>
    <w:basedOn w:val="DefaultParagraphFont"/>
    <w:uiPriority w:val="99"/>
    <w:rsid w:val="008D3529"/>
  </w:style>
  <w:style w:type="paragraph" w:customStyle="1" w:styleId="ListParaNoIndent">
    <w:name w:val="List Para No Indent"/>
    <w:basedOn w:val="ListParagraph"/>
    <w:link w:val="ListParaNoIndentChar"/>
    <w:uiPriority w:val="2"/>
    <w:qFormat/>
    <w:rsid w:val="008551FC"/>
    <w:pPr>
      <w:numPr>
        <w:numId w:val="10"/>
      </w:numPr>
      <w:tabs>
        <w:tab w:val="left" w:pos="43"/>
        <w:tab w:val="left" w:pos="432"/>
      </w:tabs>
    </w:pPr>
    <w:rPr>
      <w:sz w:val="28"/>
    </w:rPr>
  </w:style>
  <w:style w:type="character" w:customStyle="1" w:styleId="ListParaNoIndentChar">
    <w:name w:val="List Para No Indent Char"/>
    <w:basedOn w:val="ListParagraphChar"/>
    <w:link w:val="ListParaNoIndent"/>
    <w:uiPriority w:val="2"/>
    <w:rsid w:val="008551FC"/>
    <w:rPr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D3529"/>
    <w:pPr>
      <w:ind w:left="432" w:hanging="432"/>
    </w:pPr>
  </w:style>
  <w:style w:type="paragraph" w:customStyle="1" w:styleId="endnotetex1">
    <w:name w:val="endnote tex1"/>
    <w:basedOn w:val="Normal"/>
    <w:qFormat/>
    <w:rsid w:val="008D3529"/>
    <w:pPr>
      <w:widowControl w:val="0"/>
      <w:spacing w:after="0" w:line="240" w:lineRule="auto"/>
      <w:ind w:left="360" w:hanging="360"/>
    </w:pPr>
    <w:rPr>
      <w:rFonts w:eastAsia="Times New Roman"/>
      <w:szCs w:val="20"/>
    </w:rPr>
  </w:style>
  <w:style w:type="character" w:customStyle="1" w:styleId="cohighlight">
    <w:name w:val="co_highlight"/>
    <w:rsid w:val="008D3529"/>
    <w:rPr>
      <w:rFonts w:cs="Times New Roman"/>
    </w:rPr>
  </w:style>
  <w:style w:type="numbering" w:customStyle="1" w:styleId="BigPaper">
    <w:name w:val="Big Paper"/>
    <w:uiPriority w:val="99"/>
    <w:rsid w:val="008D3529"/>
    <w:pPr>
      <w:numPr>
        <w:numId w:val="3"/>
      </w:numPr>
    </w:pPr>
  </w:style>
  <w:style w:type="numbering" w:customStyle="1" w:styleId="Style2">
    <w:name w:val="Style2"/>
    <w:uiPriority w:val="99"/>
    <w:rsid w:val="008D3529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3"/>
    <w:rsid w:val="008D3529"/>
    <w:rPr>
      <w:rFonts w:asciiTheme="majorHAnsi" w:eastAsiaTheme="majorEastAsia" w:hAnsiTheme="majorHAnsi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4"/>
    <w:rsid w:val="008D3529"/>
    <w:rPr>
      <w:rFonts w:eastAsiaTheme="majorEastAsia" w:cstheme="majorBidi"/>
      <w:b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5"/>
    <w:rsid w:val="002404C3"/>
    <w:rPr>
      <w:rFonts w:eastAsiaTheme="majorEastAsia" w:cstheme="majorBidi"/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6"/>
    <w:rsid w:val="008D3529"/>
    <w:rPr>
      <w:rFonts w:asciiTheme="majorHAnsi" w:eastAsiaTheme="majorEastAsia" w:hAnsiTheme="majorHAnsi" w:cstheme="majorBidi"/>
      <w:b/>
      <w:iCs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29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8D3529"/>
    <w:pPr>
      <w:tabs>
        <w:tab w:val="left" w:pos="1440"/>
        <w:tab w:val="right" w:leader="dot" w:pos="9350"/>
      </w:tabs>
      <w:spacing w:before="120" w:after="120" w:line="240" w:lineRule="auto"/>
      <w:ind w:left="432" w:hanging="432"/>
    </w:pPr>
    <w:rPr>
      <w:rFonts w:cstheme="minorHAnsi"/>
      <w:b/>
      <w:bCs/>
      <w:caps/>
      <w:noProof/>
      <w:szCs w:val="20"/>
    </w:rPr>
  </w:style>
  <w:style w:type="paragraph" w:styleId="TOC2">
    <w:name w:val="toc 2"/>
    <w:basedOn w:val="Normal"/>
    <w:next w:val="Normal"/>
    <w:uiPriority w:val="39"/>
    <w:unhideWhenUsed/>
    <w:qFormat/>
    <w:rsid w:val="008D3529"/>
    <w:pPr>
      <w:spacing w:after="80" w:line="240" w:lineRule="auto"/>
      <w:ind w:left="288" w:firstLine="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uiPriority w:val="39"/>
    <w:unhideWhenUsed/>
    <w:qFormat/>
    <w:rsid w:val="008D3529"/>
    <w:pPr>
      <w:spacing w:after="80" w:line="240" w:lineRule="auto"/>
      <w:ind w:left="1440" w:hanging="720"/>
    </w:pPr>
    <w:rPr>
      <w:rFonts w:cstheme="minorHAnsi"/>
      <w:iCs/>
      <w:szCs w:val="20"/>
    </w:rPr>
  </w:style>
  <w:style w:type="paragraph" w:styleId="TOC4">
    <w:name w:val="toc 4"/>
    <w:basedOn w:val="Normal"/>
    <w:next w:val="Normal"/>
    <w:uiPriority w:val="39"/>
    <w:unhideWhenUsed/>
    <w:qFormat/>
    <w:rsid w:val="008D3529"/>
    <w:pPr>
      <w:spacing w:after="120" w:line="240" w:lineRule="auto"/>
      <w:ind w:left="720"/>
    </w:pPr>
    <w:rPr>
      <w:rFonts w:cstheme="minorHAns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D3529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D3529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D3529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D3529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D3529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529"/>
    <w:pPr>
      <w:framePr w:wrap="notBeside" w:hAnchor="text"/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529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529"/>
    <w:pPr>
      <w:framePr w:wrap="notBeside" w:hAnchor="tex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529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3529"/>
    <w:pPr>
      <w:framePr w:wrap="notBeside" w:hAnchor="text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529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8D3529"/>
    <w:pPr>
      <w:keepLines/>
      <w:spacing w:after="0" w:line="240" w:lineRule="auto"/>
      <w:jc w:val="center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D3529"/>
    <w:rPr>
      <w:rFonts w:cs="Times New Roman"/>
      <w:b/>
      <w:sz w:val="20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D35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3529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3529"/>
    <w:pPr>
      <w:framePr w:wrap="notBeside" w:hAnchor="tex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3529"/>
    <w:rPr>
      <w:rFonts w:cs="Times New Roman"/>
      <w:szCs w:val="24"/>
    </w:rPr>
  </w:style>
  <w:style w:type="character" w:styleId="Hyperlink">
    <w:name w:val="Hyperlink"/>
    <w:basedOn w:val="DefaultParagraphFont"/>
    <w:uiPriority w:val="99"/>
    <w:qFormat/>
    <w:rsid w:val="008D3529"/>
    <w:rPr>
      <w:b/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8D3529"/>
    <w:rPr>
      <w:b/>
      <w:bCs/>
    </w:rPr>
  </w:style>
  <w:style w:type="character" w:styleId="Emphasis">
    <w:name w:val="Emphasis"/>
    <w:basedOn w:val="DefaultParagraphFont"/>
    <w:uiPriority w:val="20"/>
    <w:qFormat/>
    <w:rsid w:val="008D352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D3529"/>
    <w:pPr>
      <w:spacing w:before="100" w:beforeAutospacing="1" w:afterAutospacing="1" w:line="240" w:lineRule="auto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529"/>
    <w:pPr>
      <w:framePr w:wrap="notBeside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52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8D3529"/>
    <w:pPr>
      <w:framePr w:wrap="notBeside" w:hAnchor="text"/>
      <w:pBdr>
        <w:top w:val="single" w:sz="12" w:space="1" w:color="auto"/>
        <w:left w:val="single" w:sz="12" w:space="2" w:color="auto"/>
        <w:bottom w:val="single" w:sz="12" w:space="1" w:color="auto"/>
        <w:right w:val="single" w:sz="12" w:space="2" w:color="auto"/>
      </w:pBdr>
      <w:spacing w:after="0" w:line="240" w:lineRule="auto"/>
    </w:pPr>
    <w:rPr>
      <w:rFonts w:ascii="Tahoma" w:eastAsia="Times New Roman" w:hAnsi="Tahoma" w:cs="Tahoma"/>
      <w:sz w:val="2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529"/>
    <w:rPr>
      <w:rFonts w:ascii="Tahoma" w:eastAsia="Times New Roman" w:hAnsi="Tahoma" w:cs="Tahoma"/>
      <w:sz w:val="28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3529"/>
    <w:rPr>
      <w:szCs w:val="24"/>
    </w:rPr>
  </w:style>
  <w:style w:type="character" w:styleId="SubtleEmphasis">
    <w:name w:val="Subtle Emphasis"/>
    <w:basedOn w:val="DefaultParagraphFont"/>
    <w:uiPriority w:val="19"/>
    <w:qFormat/>
    <w:rsid w:val="008D3529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8D3529"/>
    <w:pPr>
      <w:spacing w:after="0" w:line="259" w:lineRule="auto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0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44FC-B61F-4872-90FD-7DCA479E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Padgett</dc:creator>
  <cp:keywords/>
  <dc:description/>
  <cp:lastModifiedBy>Wade Padgett</cp:lastModifiedBy>
  <cp:revision>2</cp:revision>
  <dcterms:created xsi:type="dcterms:W3CDTF">2019-11-03T20:53:00Z</dcterms:created>
  <dcterms:modified xsi:type="dcterms:W3CDTF">2019-11-03T20:53:00Z</dcterms:modified>
</cp:coreProperties>
</file>