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CD7AA" w14:textId="375C119B" w:rsidR="00444816" w:rsidRPr="00444816" w:rsidRDefault="001472C0" w:rsidP="00444816">
      <w:pPr>
        <w:pStyle w:val="ListParaNoIndent"/>
        <w:widowControl w:val="0"/>
        <w:spacing w:after="0"/>
        <w:jc w:val="center"/>
        <w:rPr>
          <w:b/>
          <w:bCs/>
        </w:rPr>
      </w:pPr>
      <w:bookmarkStart w:id="0" w:name="_Hlk144125644"/>
      <w:r>
        <w:rPr>
          <w:b/>
          <w:bCs/>
          <w:iCs/>
        </w:rPr>
        <w:t>Equitable Caregiver</w:t>
      </w:r>
      <w:r w:rsidR="00444816" w:rsidRPr="00444816">
        <w:rPr>
          <w:b/>
          <w:bCs/>
        </w:rPr>
        <w:t>- EPISODE NOTES</w:t>
      </w:r>
    </w:p>
    <w:bookmarkEnd w:id="0"/>
    <w:p w14:paraId="671A4ADB" w14:textId="77777777" w:rsidR="00444816" w:rsidRPr="00444816" w:rsidRDefault="00444816" w:rsidP="00F207BB">
      <w:pPr>
        <w:spacing w:line="480" w:lineRule="auto"/>
        <w:ind w:firstLine="0"/>
      </w:pPr>
      <w:r w:rsidRPr="00444816">
        <w:t>Hello everyone and welcome back to the Good Judge-Ment Podcast.  I am Wade Padgett</w:t>
      </w:r>
    </w:p>
    <w:p w14:paraId="76B692F0" w14:textId="7263F40B" w:rsidR="00444816" w:rsidRPr="00444816" w:rsidRDefault="00444816" w:rsidP="00F207BB">
      <w:pPr>
        <w:spacing w:line="480" w:lineRule="auto"/>
        <w:ind w:firstLine="0"/>
        <w:rPr>
          <w:i/>
          <w:iCs/>
        </w:rPr>
      </w:pPr>
      <w:r w:rsidRPr="00444816">
        <w:rPr>
          <w:i/>
          <w:iCs/>
        </w:rPr>
        <w:t>And</w:t>
      </w:r>
      <w:r w:rsidR="001472C0">
        <w:rPr>
          <w:i/>
          <w:iCs/>
        </w:rPr>
        <w:t xml:space="preserve">, for better or worse, I remain </w:t>
      </w:r>
      <w:r w:rsidRPr="00444816">
        <w:rPr>
          <w:i/>
          <w:iCs/>
        </w:rPr>
        <w:t xml:space="preserve">Tain Kell. </w:t>
      </w:r>
    </w:p>
    <w:p w14:paraId="71240FD1" w14:textId="1088421F" w:rsidR="00AB1C7D" w:rsidRDefault="00BF3A92" w:rsidP="00F207BB">
      <w:pPr>
        <w:spacing w:line="480" w:lineRule="auto"/>
        <w:ind w:firstLine="0"/>
      </w:pPr>
      <w:r>
        <w:t xml:space="preserve">Today, </w:t>
      </w:r>
      <w:r w:rsidR="001472C0">
        <w:t>we have a wonderful guest to help us navigate a topic that falls under the heading of domestic relations. The guest is the amazing and awesome Professor Melissa Carter from Emory University College of Law and the topic is the Equitable Caregiver Act</w:t>
      </w:r>
    </w:p>
    <w:p w14:paraId="5E908C20" w14:textId="4E385378" w:rsidR="00BF3A92" w:rsidRDefault="00BF3A92" w:rsidP="00F207BB">
      <w:pPr>
        <w:spacing w:line="480" w:lineRule="auto"/>
        <w:ind w:firstLine="0"/>
        <w:rPr>
          <w:i/>
        </w:rPr>
      </w:pPr>
      <w:r>
        <w:rPr>
          <w:i/>
        </w:rPr>
        <w:t xml:space="preserve">That’s right – </w:t>
      </w:r>
      <w:r w:rsidR="001472C0">
        <w:rPr>
          <w:i/>
        </w:rPr>
        <w:t>[Introduce Professor Melissa Carter]</w:t>
      </w:r>
      <w:r>
        <w:rPr>
          <w:i/>
        </w:rPr>
        <w:t>.</w:t>
      </w:r>
    </w:p>
    <w:p w14:paraId="62EF27E6" w14:textId="087AD0CC" w:rsidR="00BF3A92" w:rsidRDefault="001472C0" w:rsidP="00F207BB">
      <w:pPr>
        <w:spacing w:line="480" w:lineRule="auto"/>
        <w:ind w:firstLine="0"/>
      </w:pPr>
      <w:r>
        <w:t>Professor Carter has been kind enough to ask Tain and I to present to her Family Law 1 and 2 classes for several years now. Shout out to her students for allowing us to invade academia with our own version of how family law works in the real world</w:t>
      </w:r>
    </w:p>
    <w:p w14:paraId="536EA511" w14:textId="4E93BF35" w:rsidR="00BF3A92" w:rsidRDefault="001472C0" w:rsidP="00F207BB">
      <w:pPr>
        <w:spacing w:line="480" w:lineRule="auto"/>
        <w:ind w:firstLine="0"/>
        <w:rPr>
          <w:i/>
        </w:rPr>
      </w:pPr>
      <w:r>
        <w:rPr>
          <w:i/>
        </w:rPr>
        <w:t>Professor Carter’s students have been lucky to have her teach them over the years – someone who has been a practitioner in this field and has now become a law professor. You know, we have that in common – Professor Carter and I – we both now teach law students after spending a portion of our legal careers in the trenches</w:t>
      </w:r>
    </w:p>
    <w:p w14:paraId="0DCEC5AD" w14:textId="35AD48C7" w:rsidR="00BF3A92" w:rsidRPr="00BF3A92" w:rsidRDefault="001472C0" w:rsidP="00F207BB">
      <w:pPr>
        <w:spacing w:line="480" w:lineRule="auto"/>
        <w:ind w:firstLine="0"/>
      </w:pPr>
      <w:r>
        <w:lastRenderedPageBreak/>
        <w:t>Let’s get to it</w:t>
      </w:r>
    </w:p>
    <w:p w14:paraId="3B49FED7" w14:textId="0E4A0BC1" w:rsidR="00A24E60" w:rsidRPr="00A24E60" w:rsidRDefault="00000000" w:rsidP="002A157E">
      <w:pPr>
        <w:spacing w:line="480" w:lineRule="auto"/>
        <w:ind w:firstLine="0"/>
      </w:pPr>
      <w:r>
        <w:pict w14:anchorId="19DEAAC5">
          <v:rect id="_x0000_i1025" style="width:0;height:1.5pt" o:hralign="center" o:hrstd="t" o:hr="t" fillcolor="#a0a0a0" stroked="f"/>
        </w:pict>
      </w:r>
    </w:p>
    <w:p w14:paraId="1BABBE61" w14:textId="6FC1371B" w:rsidR="001472C0" w:rsidRDefault="001472C0" w:rsidP="002A157E">
      <w:pPr>
        <w:spacing w:line="480" w:lineRule="auto"/>
        <w:ind w:firstLine="0"/>
      </w:pPr>
      <w:r>
        <w:t>First, Professor Carter – introduce yourself to both of our listeners</w:t>
      </w:r>
    </w:p>
    <w:p w14:paraId="0710139D" w14:textId="1273977E" w:rsidR="00B52C35" w:rsidRDefault="00B52C35" w:rsidP="002A157E">
      <w:pPr>
        <w:spacing w:line="480" w:lineRule="auto"/>
        <w:ind w:firstLine="0"/>
      </w:pPr>
      <w:r>
        <w:tab/>
        <w:t>[Professor Carter intro]</w:t>
      </w:r>
    </w:p>
    <w:p w14:paraId="22FE0C82" w14:textId="2E695C76" w:rsidR="00B52C35" w:rsidRDefault="00B52C35" w:rsidP="002A157E">
      <w:pPr>
        <w:spacing w:line="480" w:lineRule="auto"/>
        <w:ind w:firstLine="0"/>
      </w:pPr>
      <w:r>
        <w:t xml:space="preserve">OCGA § 19-7-3.1 is commonly referred to as the equitable caregiver act but the formal name actually provides a helpful reminder – the formal name is the </w:t>
      </w:r>
      <w:r>
        <w:rPr>
          <w:i/>
          <w:iCs/>
        </w:rPr>
        <w:t>Adjudicated</w:t>
      </w:r>
      <w:r>
        <w:t xml:space="preserve"> Equitable Caregiver</w:t>
      </w:r>
    </w:p>
    <w:p w14:paraId="3B19AB3B" w14:textId="4170326A" w:rsidR="00B52C35" w:rsidRPr="00B52C35" w:rsidRDefault="00B52C35" w:rsidP="00B52C35">
      <w:pPr>
        <w:spacing w:line="480" w:lineRule="auto"/>
        <w:ind w:left="720" w:firstLine="0"/>
      </w:pPr>
      <w:r>
        <w:t xml:space="preserve">The reason the formal name provides a helpful reminder is that before the trial court can get involved with custody determinations involving someone who is not biologically related to the child, that person must be </w:t>
      </w:r>
      <w:r>
        <w:rPr>
          <w:i/>
          <w:iCs/>
        </w:rPr>
        <w:t>adjudicated</w:t>
      </w:r>
      <w:r>
        <w:t xml:space="preserve"> to qualify as an equitable caregiver under the statute. But let’s not get ahead of ourselves – hold that thought for a minute or two</w:t>
      </w:r>
    </w:p>
    <w:p w14:paraId="5BCCA427" w14:textId="5E47D41D" w:rsidR="00B52C35" w:rsidRDefault="00B52C35" w:rsidP="00B52C35">
      <w:pPr>
        <w:spacing w:line="480" w:lineRule="auto"/>
        <w:ind w:firstLine="0"/>
      </w:pPr>
      <w:r>
        <w:t xml:space="preserve">A recent case decided by our Supreme Court, </w:t>
      </w:r>
      <w:r>
        <w:rPr>
          <w:i/>
          <w:iCs/>
        </w:rPr>
        <w:t>Venticinque v. Lair</w:t>
      </w:r>
      <w:r>
        <w:t>, __ Ga. __, 924 SE2d 312 (December 9, 2025), has caused a bit of a stir and motivated us to ask Professor Carter to come on and discuss this area of our law.</w:t>
      </w:r>
    </w:p>
    <w:p w14:paraId="3B0F460A" w14:textId="74E6713F" w:rsidR="00B52C35" w:rsidRDefault="00B52C35" w:rsidP="000F04EB">
      <w:pPr>
        <w:spacing w:line="480" w:lineRule="auto"/>
        <w:ind w:left="720" w:firstLine="0"/>
      </w:pPr>
      <w:r>
        <w:t xml:space="preserve">Before we dive into the </w:t>
      </w:r>
      <w:r>
        <w:rPr>
          <w:i/>
          <w:iCs/>
        </w:rPr>
        <w:t>Lair</w:t>
      </w:r>
      <w:r>
        <w:t xml:space="preserve"> case, let’s rewind the clock a bit and discuss the statute and how we got here</w:t>
      </w:r>
      <w:r w:rsidR="000F04EB">
        <w:t xml:space="preserve"> – and you will now learn why we wanted </w:t>
      </w:r>
      <w:r w:rsidR="000F04EB">
        <w:lastRenderedPageBreak/>
        <w:t>Professor Carter to help us with this episode (</w:t>
      </w:r>
      <w:r w:rsidR="00E74779">
        <w:t>in addition to the</w:t>
      </w:r>
      <w:r w:rsidR="000F04EB">
        <w:t xml:space="preserve"> general improvement in the intellectual capabilities of the hosts)</w:t>
      </w:r>
    </w:p>
    <w:p w14:paraId="46996F9C" w14:textId="4D90A13C" w:rsidR="000F04EB" w:rsidRDefault="000F04EB" w:rsidP="000F04EB">
      <w:pPr>
        <w:spacing w:line="480" w:lineRule="auto"/>
        <w:ind w:firstLine="0"/>
      </w:pPr>
      <w:r>
        <w:pict w14:anchorId="5D457B1B">
          <v:rect id="_x0000_i1043" style="width:0;height:1.5pt" o:hralign="center" o:hrstd="t" o:hr="t" fillcolor="#a0a0a0" stroked="f"/>
        </w:pict>
      </w:r>
    </w:p>
    <w:p w14:paraId="3634E072" w14:textId="103C076F" w:rsidR="007E6263" w:rsidRPr="007E6263" w:rsidRDefault="007E6263" w:rsidP="000F04EB">
      <w:pPr>
        <w:spacing w:line="480" w:lineRule="auto"/>
        <w:ind w:firstLine="0"/>
        <w:rPr>
          <w:b/>
          <w:bCs/>
        </w:rPr>
      </w:pPr>
      <w:r>
        <w:rPr>
          <w:b/>
          <w:bCs/>
        </w:rPr>
        <w:t>Constitutional Right to Parent</w:t>
      </w:r>
    </w:p>
    <w:p w14:paraId="6041F5E3" w14:textId="64B95D15" w:rsidR="000F04EB" w:rsidRDefault="000F04EB" w:rsidP="000F04EB">
      <w:pPr>
        <w:spacing w:line="480" w:lineRule="auto"/>
        <w:ind w:firstLine="0"/>
        <w:rPr>
          <w:b/>
          <w:bCs/>
        </w:rPr>
      </w:pPr>
      <w:r>
        <w:t xml:space="preserve">In prior episodes, we have discussed the tension between the constitutional right to be a parent and the standard which applies to all child custody determinations in Georgia – </w:t>
      </w:r>
      <w:r>
        <w:rPr>
          <w:b/>
          <w:bCs/>
        </w:rPr>
        <w:t>the best interests of the child</w:t>
      </w:r>
    </w:p>
    <w:p w14:paraId="205B0C6B" w14:textId="0F9195B8" w:rsidR="00383A23" w:rsidRDefault="00383A23" w:rsidP="00383A23">
      <w:pPr>
        <w:spacing w:line="480" w:lineRule="auto"/>
        <w:ind w:left="720" w:firstLine="0"/>
      </w:pPr>
      <w:r>
        <w:t>And for the entirety of this episode, it will be important to remember that there is an over-arching constitutional principal in play whenever you are talking about people other than parents wanting custody of children – that is the constitutional right to parent</w:t>
      </w:r>
    </w:p>
    <w:p w14:paraId="51B2AEDE" w14:textId="16F0C186" w:rsidR="00383A23" w:rsidRDefault="00383A23" w:rsidP="00383A23">
      <w:pPr>
        <w:spacing w:line="480" w:lineRule="auto"/>
        <w:ind w:firstLine="0"/>
      </w:pPr>
      <w:r>
        <w:t>As we have discussed in prior episodes, the US Supreme Court has held that the right to parent is embedded in the Due Process Clause of the 14</w:t>
      </w:r>
      <w:r w:rsidRPr="00383A23">
        <w:rPr>
          <w:vertAlign w:val="superscript"/>
        </w:rPr>
        <w:t>th</w:t>
      </w:r>
      <w:r>
        <w:t xml:space="preserve"> Amendment (See discussion in </w:t>
      </w:r>
      <w:r>
        <w:rPr>
          <w:i/>
          <w:iCs/>
        </w:rPr>
        <w:t>Dias v. Boone</w:t>
      </w:r>
      <w:r>
        <w:t xml:space="preserve">, 320 Ga. 785, </w:t>
      </w:r>
      <w:r w:rsidR="005146FC">
        <w:t xml:space="preserve">794-795 (912 SE2d 547) (2025)). </w:t>
      </w:r>
    </w:p>
    <w:p w14:paraId="17F2F5E2" w14:textId="3ED7918A" w:rsidR="005146FC" w:rsidRPr="005146FC" w:rsidRDefault="005146FC" w:rsidP="005146FC">
      <w:pPr>
        <w:spacing w:line="480" w:lineRule="auto"/>
        <w:ind w:left="720" w:firstLine="0"/>
      </w:pPr>
      <w:r>
        <w:t xml:space="preserve">Our Supreme Court has held that the right to parent is also based upon the “inherent rights” reserved to Georgia citizens under Art. I, Sec. V. Par. II of the Georgia Constitution. (See </w:t>
      </w:r>
      <w:r>
        <w:rPr>
          <w:i/>
          <w:iCs/>
        </w:rPr>
        <w:t>Dias</w:t>
      </w:r>
      <w:r>
        <w:t>, at 795)</w:t>
      </w:r>
    </w:p>
    <w:p w14:paraId="6BB12BF3" w14:textId="06C2677F" w:rsidR="005146FC" w:rsidRDefault="005146FC" w:rsidP="00383A23">
      <w:pPr>
        <w:spacing w:line="480" w:lineRule="auto"/>
        <w:ind w:firstLine="0"/>
      </w:pPr>
      <w:r>
        <w:lastRenderedPageBreak/>
        <w:t xml:space="preserve">And that right to parent has been defined as “fundamental” and “paramount” by our Supreme Court. (See </w:t>
      </w:r>
      <w:hyperlink r:id="rId8" w:anchor="co_pp_sp_359_143" w:history="1">
        <w:r w:rsidRPr="005146FC">
          <w:rPr>
            <w:rStyle w:val="Hyperlink"/>
            <w:b w:val="0"/>
            <w:bCs/>
            <w:i/>
            <w:iCs/>
            <w:u w:val="none"/>
          </w:rPr>
          <w:t>Patten v. Ardis</w:t>
        </w:r>
        <w:r w:rsidRPr="005146FC">
          <w:rPr>
            <w:rStyle w:val="Hyperlink"/>
            <w:b w:val="0"/>
            <w:bCs/>
            <w:u w:val="none"/>
          </w:rPr>
          <w:t>, 304 Ga. 140, 143-144 (2), 816 S.E.2d 633 (2018)</w:t>
        </w:r>
      </w:hyperlink>
      <w:r>
        <w:t>).</w:t>
      </w:r>
    </w:p>
    <w:p w14:paraId="5A90D5E5" w14:textId="4A975CFC" w:rsidR="005146FC" w:rsidRDefault="005146FC" w:rsidP="005146FC">
      <w:pPr>
        <w:spacing w:line="480" w:lineRule="auto"/>
        <w:ind w:left="720" w:firstLine="0"/>
      </w:pPr>
      <w:r>
        <w:t>All courts have recognized that parental power can be lost, but we always begin any custody determination – particularly when there is a potential of the right to parent being lost to a third party – with that constitutional “presumption” being front-of-mind</w:t>
      </w:r>
    </w:p>
    <w:p w14:paraId="73760DCC" w14:textId="5705FFA6" w:rsidR="005146FC" w:rsidRPr="005146FC" w:rsidRDefault="005146FC" w:rsidP="005146FC">
      <w:pPr>
        <w:spacing w:line="480" w:lineRule="auto"/>
        <w:ind w:firstLine="0"/>
      </w:pPr>
      <w:r>
        <w:pict w14:anchorId="59E23B33">
          <v:rect id="_x0000_i1045" style="width:0;height:1.5pt" o:hralign="center" o:hrstd="t" o:hr="t" fillcolor="#a0a0a0" stroked="f"/>
        </w:pict>
      </w:r>
    </w:p>
    <w:p w14:paraId="1B056FE5" w14:textId="1B4566DF" w:rsidR="007E6263" w:rsidRPr="007E6263" w:rsidRDefault="007E6263" w:rsidP="00383A23">
      <w:pPr>
        <w:spacing w:line="480" w:lineRule="auto"/>
        <w:ind w:firstLine="0"/>
        <w:rPr>
          <w:b/>
          <w:bCs/>
        </w:rPr>
      </w:pPr>
      <w:r>
        <w:rPr>
          <w:b/>
          <w:bCs/>
        </w:rPr>
        <w:t>Statutes Dealing with Child Custody</w:t>
      </w:r>
    </w:p>
    <w:p w14:paraId="7E274ED6" w14:textId="69F5F002" w:rsidR="000F04EB" w:rsidRDefault="000F04EB" w:rsidP="00383A23">
      <w:pPr>
        <w:spacing w:line="480" w:lineRule="auto"/>
        <w:ind w:firstLine="0"/>
      </w:pPr>
      <w:r>
        <w:t>OCGA § 19-7-1 provides that a child remains under the control of his or her parents until the child is 18 or becomes emancipated</w:t>
      </w:r>
    </w:p>
    <w:p w14:paraId="3A3E55C7" w14:textId="6D72C929" w:rsidR="000F04EB" w:rsidRDefault="000F04EB" w:rsidP="00383A23">
      <w:pPr>
        <w:spacing w:line="480" w:lineRule="auto"/>
        <w:ind w:left="720" w:firstLine="0"/>
      </w:pPr>
      <w:r>
        <w:t>That statute goes on to set forth the 9 different ways that parental power can be lost – things like consent to adoption, failing to provide necessaries for the child, cruel treatment of the child, or an order terminating the parental rights of the parent(s)</w:t>
      </w:r>
    </w:p>
    <w:p w14:paraId="6B306809" w14:textId="51E39A83" w:rsidR="000F04EB" w:rsidRDefault="000F04EB" w:rsidP="00383A23">
      <w:pPr>
        <w:spacing w:line="480" w:lineRule="auto"/>
        <w:ind w:firstLine="0"/>
      </w:pPr>
      <w:r>
        <w:t xml:space="preserve">Subsection (b.1) sets forth </w:t>
      </w:r>
      <w:r w:rsidR="005146FC">
        <w:t>a limited number of “</w:t>
      </w:r>
      <w:r>
        <w:t>family members</w:t>
      </w:r>
      <w:r w:rsidR="005146FC">
        <w:t>”</w:t>
      </w:r>
      <w:r>
        <w:t xml:space="preserve"> (a/k/a third parties) who can seek custody of a child. That list includes grandparents, great-grandparents, aunts, uncles, great aunts/uncles, sibling or adoptive parents. </w:t>
      </w:r>
    </w:p>
    <w:p w14:paraId="6E4206AB" w14:textId="77276044" w:rsidR="000F04EB" w:rsidRDefault="000F04EB" w:rsidP="00383A23">
      <w:pPr>
        <w:spacing w:line="480" w:lineRule="auto"/>
        <w:ind w:left="720" w:firstLine="0"/>
      </w:pPr>
      <w:r>
        <w:lastRenderedPageBreak/>
        <w:t xml:space="preserve">Again, an award of custody to those listed </w:t>
      </w:r>
      <w:r w:rsidR="005146FC">
        <w:t>“third parties”</w:t>
      </w:r>
      <w:r>
        <w:t xml:space="preserve"> requires a finding that it is in the child’s best interest</w:t>
      </w:r>
      <w:r w:rsidR="005146FC">
        <w:t xml:space="preserve"> to make such a custody award</w:t>
      </w:r>
      <w:r>
        <w:t xml:space="preserve"> – but </w:t>
      </w:r>
      <w:r w:rsidR="005146FC">
        <w:t>the statute includes the</w:t>
      </w:r>
      <w:r>
        <w:t xml:space="preserve"> rebuttable presumption that it is in the child’s best interest to have their custody awarded to a parent (constitutional requirement)</w:t>
      </w:r>
      <w:r w:rsidR="005146FC">
        <w:t xml:space="preserve"> (See OCGA § 19-7-1(b.1)).</w:t>
      </w:r>
    </w:p>
    <w:p w14:paraId="4141B55A" w14:textId="5626A67C" w:rsidR="00383A23" w:rsidRDefault="00383A23" w:rsidP="00383A23">
      <w:pPr>
        <w:spacing w:line="480" w:lineRule="auto"/>
        <w:ind w:firstLine="0"/>
      </w:pPr>
      <w:r>
        <w:t xml:space="preserve">OCGA § 19-9-3 is the statute that sets the parameters of custody determinations BETWEEN PARENTS. </w:t>
      </w:r>
    </w:p>
    <w:p w14:paraId="2946C5F2" w14:textId="5DF86A99" w:rsidR="00383A23" w:rsidRDefault="00383A23" w:rsidP="00383A23">
      <w:pPr>
        <w:spacing w:line="480" w:lineRule="auto"/>
        <w:ind w:left="720" w:firstLine="0"/>
        <w:rPr>
          <w:u w:val="single"/>
        </w:rPr>
      </w:pPr>
      <w:r>
        <w:t xml:space="preserve">You will recall that this statute has a non-exhaustive list of 17 factors which the trial court must consider when making a custody determination </w:t>
      </w:r>
      <w:r w:rsidRPr="00383A23">
        <w:rPr>
          <w:u w:val="single"/>
        </w:rPr>
        <w:t>BETWEEN PARENTS</w:t>
      </w:r>
    </w:p>
    <w:p w14:paraId="219ADC12" w14:textId="617DB87F" w:rsidR="005146FC" w:rsidRDefault="005146FC" w:rsidP="005146FC">
      <w:pPr>
        <w:spacing w:line="480" w:lineRule="auto"/>
        <w:ind w:firstLine="0"/>
      </w:pPr>
      <w:r>
        <w:t xml:space="preserve">When the </w:t>
      </w:r>
      <w:r w:rsidR="00E74779">
        <w:t>custody dispute is between parents, you do not see the “reminder” of the constitutional right to parent – because the contestants ARE the parents</w:t>
      </w:r>
    </w:p>
    <w:p w14:paraId="5616795A" w14:textId="2C4DAAA3" w:rsidR="00E74779" w:rsidRPr="005146FC" w:rsidRDefault="00E74779" w:rsidP="00E74779">
      <w:pPr>
        <w:spacing w:line="480" w:lineRule="auto"/>
        <w:ind w:left="720" w:firstLine="0"/>
      </w:pPr>
      <w:r>
        <w:t>You may wonder why we are going to such extremes to talk about the constitutional right to parent – that is because we, as trial judges, occasionally forget to acknowledge that presumption in our custody orders – and because as we move on to the topic of the day (the Equitable Caregiver act), the importance of the presumption cannot be overstated</w:t>
      </w:r>
    </w:p>
    <w:p w14:paraId="0A9D49CA" w14:textId="455BFF04" w:rsidR="00383A23" w:rsidRDefault="00383A23" w:rsidP="00383A23">
      <w:pPr>
        <w:spacing w:line="480" w:lineRule="auto"/>
        <w:ind w:firstLine="0"/>
      </w:pPr>
      <w:r>
        <w:pict w14:anchorId="768E1F84">
          <v:rect id="_x0000_i1044" style="width:0;height:1.5pt" o:hralign="center" o:hrstd="t" o:hr="t" fillcolor="#a0a0a0" stroked="f"/>
        </w:pict>
      </w:r>
    </w:p>
    <w:p w14:paraId="126D511A" w14:textId="27919B7C" w:rsidR="007E6263" w:rsidRDefault="007E6263" w:rsidP="00383A23">
      <w:pPr>
        <w:spacing w:line="480" w:lineRule="auto"/>
        <w:ind w:firstLine="0"/>
        <w:rPr>
          <w:b/>
          <w:bCs/>
        </w:rPr>
      </w:pPr>
      <w:r>
        <w:rPr>
          <w:b/>
          <w:bCs/>
        </w:rPr>
        <w:lastRenderedPageBreak/>
        <w:t>The Grandparent Visitation Statute (OCGA § 19-7-3)</w:t>
      </w:r>
    </w:p>
    <w:p w14:paraId="5048DD57" w14:textId="424F6F48" w:rsidR="007E6263" w:rsidRDefault="007E6263" w:rsidP="00383A23">
      <w:pPr>
        <w:spacing w:line="480" w:lineRule="auto"/>
        <w:ind w:firstLine="0"/>
      </w:pPr>
      <w:r>
        <w:t>Listeners to this podcast recall that visitation is a part of custody</w:t>
      </w:r>
      <w:r w:rsidR="002040C2">
        <w:t xml:space="preserve">. </w:t>
      </w:r>
      <w:r w:rsidR="002040C2">
        <w:rPr>
          <w:i/>
          <w:iCs/>
        </w:rPr>
        <w:t>Moore v. Moore-McKinney</w:t>
      </w:r>
      <w:r w:rsidR="002040C2">
        <w:t>, 297 Ga. App. 703, 705 (2009) (listing cases which have held that visitation is a part of a custody determination)</w:t>
      </w:r>
    </w:p>
    <w:p w14:paraId="79FEF54F" w14:textId="752E3B85" w:rsidR="002040C2" w:rsidRDefault="002040C2" w:rsidP="002040C2">
      <w:pPr>
        <w:spacing w:line="480" w:lineRule="auto"/>
        <w:ind w:left="720" w:firstLine="0"/>
      </w:pPr>
      <w:r>
        <w:t>OCGA § 19-7-3 is frequently referred to as the Grandparent Visitation statute but the list of people to whom the statute applies also includes great-grandparents and siblings</w:t>
      </w:r>
    </w:p>
    <w:p w14:paraId="008311DD" w14:textId="29575A59" w:rsidR="002040C2" w:rsidRDefault="002040C2" w:rsidP="002040C2">
      <w:pPr>
        <w:spacing w:line="480" w:lineRule="auto"/>
        <w:ind w:firstLine="0"/>
      </w:pPr>
      <w:r>
        <w:t>Does not authorize an award of visitation to “grandparents” if the parents are not separated and the child is living with both parents OCGA § 19-7-3(b)(2)</w:t>
      </w:r>
    </w:p>
    <w:p w14:paraId="6CD8E505" w14:textId="23508132" w:rsidR="002040C2" w:rsidRDefault="002040C2" w:rsidP="002040C2">
      <w:pPr>
        <w:spacing w:line="480" w:lineRule="auto"/>
        <w:ind w:left="720" w:firstLine="0"/>
      </w:pPr>
      <w:r>
        <w:t>Statute also provides that the parents’ decision regarding visitation must be given deference by the trial court OCGA § 19-7-3(c)(3)</w:t>
      </w:r>
    </w:p>
    <w:p w14:paraId="5CB17307" w14:textId="79E23ABC" w:rsidR="002040C2" w:rsidRPr="002040C2" w:rsidRDefault="002040C2" w:rsidP="002040C2">
      <w:pPr>
        <w:spacing w:line="480" w:lineRule="auto"/>
        <w:ind w:firstLine="0"/>
      </w:pPr>
      <w:r>
        <w:pict w14:anchorId="4DF2E258">
          <v:rect id="_x0000_i1047" style="width:0;height:1.5pt" o:hralign="center" o:hrstd="t" o:hr="t" fillcolor="#a0a0a0" stroked="f"/>
        </w:pict>
      </w:r>
    </w:p>
    <w:p w14:paraId="0F6E0FF3" w14:textId="67DFDE6A" w:rsidR="002040C2" w:rsidRPr="002040C2" w:rsidRDefault="002040C2" w:rsidP="00383A23">
      <w:pPr>
        <w:spacing w:line="480" w:lineRule="auto"/>
        <w:ind w:firstLine="0"/>
        <w:rPr>
          <w:b/>
          <w:bCs/>
        </w:rPr>
      </w:pPr>
      <w:r>
        <w:rPr>
          <w:b/>
          <w:bCs/>
        </w:rPr>
        <w:t>The Origin of the Equitable Caregiver Statute</w:t>
      </w:r>
    </w:p>
    <w:p w14:paraId="4733A4A0" w14:textId="76F4264B" w:rsidR="00383A23" w:rsidRDefault="00383A23" w:rsidP="00383A23">
      <w:pPr>
        <w:spacing w:line="480" w:lineRule="auto"/>
        <w:ind w:firstLine="0"/>
      </w:pPr>
      <w:r>
        <w:t>Enter into the conversation non-biological (or legal) relationships with children</w:t>
      </w:r>
    </w:p>
    <w:p w14:paraId="11A1B4DE" w14:textId="14FD61B2" w:rsidR="00383A23" w:rsidRDefault="00383A23" w:rsidP="00383A23">
      <w:pPr>
        <w:spacing w:line="480" w:lineRule="auto"/>
        <w:ind w:left="720" w:firstLine="0"/>
      </w:pPr>
      <w:r>
        <w:t>[Professor Carter – help us with how the Equitable Caregiver statute came into being – first passed in 2019</w:t>
      </w:r>
      <w:r w:rsidR="00E74779">
        <w:t>; amended in 2020 (2020 amendment was largely semantics and phrasing only)</w:t>
      </w:r>
      <w:r>
        <w:t>]</w:t>
      </w:r>
    </w:p>
    <w:p w14:paraId="043C3202" w14:textId="5AD0F1B3" w:rsidR="00E74779" w:rsidRDefault="00E74779" w:rsidP="00E74779">
      <w:pPr>
        <w:spacing w:line="480" w:lineRule="auto"/>
        <w:ind w:firstLine="0"/>
      </w:pPr>
      <w:r>
        <w:t>[Addressed the modern realities of what constitutes “family”]</w:t>
      </w:r>
    </w:p>
    <w:p w14:paraId="31C67E71" w14:textId="339066DE" w:rsidR="00E74779" w:rsidRDefault="00E74779" w:rsidP="00E74779">
      <w:pPr>
        <w:spacing w:line="480" w:lineRule="auto"/>
        <w:ind w:firstLine="0"/>
      </w:pPr>
      <w:r>
        <w:lastRenderedPageBreak/>
        <w:pict w14:anchorId="120DB975">
          <v:rect id="_x0000_i1046" style="width:0;height:1.5pt" o:hralign="center" o:hrstd="t" o:hr="t" fillcolor="#a0a0a0" stroked="f"/>
        </w:pict>
      </w:r>
    </w:p>
    <w:p w14:paraId="68C1A1A0" w14:textId="52BD00BD" w:rsidR="00125EFF" w:rsidRDefault="00125EFF" w:rsidP="00E74779">
      <w:pPr>
        <w:spacing w:line="480" w:lineRule="auto"/>
        <w:ind w:firstLine="0"/>
        <w:rPr>
          <w:b/>
          <w:bCs/>
        </w:rPr>
      </w:pPr>
      <w:r>
        <w:rPr>
          <w:b/>
          <w:bCs/>
        </w:rPr>
        <w:t>Requirements of Equitable Caregiver claim</w:t>
      </w:r>
    </w:p>
    <w:p w14:paraId="16CDE77C" w14:textId="711FA29B" w:rsidR="00125EFF" w:rsidRDefault="00125EFF" w:rsidP="00E74779">
      <w:pPr>
        <w:spacing w:line="480" w:lineRule="auto"/>
        <w:ind w:firstLine="0"/>
        <w:rPr>
          <w:b/>
          <w:bCs/>
        </w:rPr>
      </w:pPr>
      <w:r>
        <w:rPr>
          <w:b/>
          <w:bCs/>
        </w:rPr>
        <w:t>[Professor Carter – we may rely on you significantly here]</w:t>
      </w:r>
    </w:p>
    <w:p w14:paraId="496F2DA8" w14:textId="61C0BD0B" w:rsidR="00150379" w:rsidRPr="00125EFF" w:rsidRDefault="00150379" w:rsidP="00E74779">
      <w:pPr>
        <w:spacing w:line="480" w:lineRule="auto"/>
        <w:ind w:firstLine="0"/>
      </w:pPr>
      <w:r>
        <w:rPr>
          <w:b/>
          <w:bCs/>
        </w:rPr>
        <w:t>[See OCGA § 19-7-3.1]</w:t>
      </w:r>
    </w:p>
    <w:p w14:paraId="470FE89E" w14:textId="5EF08E9B" w:rsidR="00125EFF" w:rsidRDefault="00125EFF" w:rsidP="00E74779">
      <w:pPr>
        <w:spacing w:line="480" w:lineRule="auto"/>
        <w:ind w:firstLine="0"/>
      </w:pPr>
      <w:r>
        <w:t>File initial pleading under oath showing that he/she qualifies as Equitable Caregiver</w:t>
      </w:r>
    </w:p>
    <w:p w14:paraId="67AD478B" w14:textId="3243D41D" w:rsidR="00125EFF" w:rsidRDefault="00125EFF" w:rsidP="00E74779">
      <w:pPr>
        <w:spacing w:line="480" w:lineRule="auto"/>
        <w:ind w:firstLine="0"/>
      </w:pPr>
      <w:r>
        <w:tab/>
        <w:t>Opposing party must file affidavit in response</w:t>
      </w:r>
    </w:p>
    <w:p w14:paraId="336C5F7B" w14:textId="3C6713B6" w:rsidR="00125EFF" w:rsidRDefault="00125EFF" w:rsidP="00E74779">
      <w:pPr>
        <w:spacing w:line="480" w:lineRule="auto"/>
        <w:ind w:firstLine="0"/>
      </w:pPr>
      <w:r>
        <w:t>Court must determine if the petitioner has shown prima facie evidence that he/she qualifies as EC</w:t>
      </w:r>
    </w:p>
    <w:p w14:paraId="1D401A1D" w14:textId="2A9A25C1" w:rsidR="00125EFF" w:rsidRDefault="00125EFF" w:rsidP="00E74779">
      <w:pPr>
        <w:spacing w:line="480" w:lineRule="auto"/>
        <w:ind w:firstLine="0"/>
      </w:pPr>
      <w:r>
        <w:tab/>
        <w:t>Form documents included in statute “may” be used</w:t>
      </w:r>
    </w:p>
    <w:p w14:paraId="05A6BAD4" w14:textId="7A233016" w:rsidR="00125EFF" w:rsidRDefault="00125EFF" w:rsidP="00E74779">
      <w:pPr>
        <w:spacing w:line="480" w:lineRule="auto"/>
        <w:ind w:firstLine="0"/>
      </w:pPr>
      <w:r>
        <w:t>To establish status as EC, petitioner must show by CLEAR AND CONVINCING evidence:</w:t>
      </w:r>
    </w:p>
    <w:p w14:paraId="2B94DDF2" w14:textId="74E0B618" w:rsidR="00125EFF" w:rsidRPr="00125EFF" w:rsidRDefault="00125EFF" w:rsidP="00125EFF">
      <w:pPr>
        <w:spacing w:line="480" w:lineRule="auto"/>
        <w:ind w:left="720" w:firstLine="0"/>
      </w:pPr>
      <w:r w:rsidRPr="00125EFF">
        <w:t>(1) Fully and completely undertaken a permanent, unequivocal, committed, and responsible parental role in the child's life;</w:t>
      </w:r>
    </w:p>
    <w:p w14:paraId="09135D8A" w14:textId="77777777" w:rsidR="00125EFF" w:rsidRPr="00125EFF" w:rsidRDefault="00125EFF" w:rsidP="00125EFF">
      <w:pPr>
        <w:spacing w:line="480" w:lineRule="auto"/>
      </w:pPr>
      <w:r w:rsidRPr="00125EFF">
        <w:t>(2) Engaged in consistent caretaking of the child;</w:t>
      </w:r>
    </w:p>
    <w:p w14:paraId="46F83BB1" w14:textId="77777777" w:rsidR="00125EFF" w:rsidRPr="00125EFF" w:rsidRDefault="00125EFF" w:rsidP="00125EFF">
      <w:pPr>
        <w:spacing w:line="480" w:lineRule="auto"/>
        <w:ind w:left="720" w:firstLine="0"/>
      </w:pPr>
      <w:r w:rsidRPr="00125EFF">
        <w:t xml:space="preserve">(3) Established a bonded and dependent relationship with the child, which relationship was fostered or supported by a parent of the child, and such </w:t>
      </w:r>
      <w:r w:rsidRPr="00125EFF">
        <w:lastRenderedPageBreak/>
        <w:t>individual and the parent have understood, acknowledged, or accepted that or behaved as though such individual is a parent of the child;</w:t>
      </w:r>
    </w:p>
    <w:p w14:paraId="3C16D6DC" w14:textId="77777777" w:rsidR="00125EFF" w:rsidRPr="00125EFF" w:rsidRDefault="00125EFF" w:rsidP="00125EFF">
      <w:pPr>
        <w:spacing w:line="480" w:lineRule="auto"/>
        <w:ind w:left="720" w:firstLine="0"/>
      </w:pPr>
      <w:r w:rsidRPr="00125EFF">
        <w:t>(4) Accepted full and permanent responsibilities as a parent of the child without expectation of financial compensation; and</w:t>
      </w:r>
    </w:p>
    <w:p w14:paraId="533D7C6E" w14:textId="77777777" w:rsidR="00125EFF" w:rsidRDefault="00125EFF" w:rsidP="00125EFF">
      <w:pPr>
        <w:spacing w:line="480" w:lineRule="auto"/>
        <w:ind w:left="720" w:firstLine="0"/>
      </w:pPr>
      <w:r w:rsidRPr="00125EFF">
        <w:t>(5) Demonstrated that the child will suffer physical harm or long-term emotional harm and that continuing the relationship between such individual and the child is in the best interest of the child.</w:t>
      </w:r>
    </w:p>
    <w:p w14:paraId="08103261" w14:textId="77777777" w:rsidR="00125EFF" w:rsidRPr="00125EFF" w:rsidRDefault="00125EFF" w:rsidP="00125EFF">
      <w:pPr>
        <w:spacing w:line="480" w:lineRule="auto"/>
        <w:ind w:firstLine="0"/>
      </w:pPr>
      <w:r w:rsidRPr="00125EFF">
        <w:t>(e) In determining the existence of harm, the court shall consider factors related to the child's needs, including, but not limited to:</w:t>
      </w:r>
    </w:p>
    <w:p w14:paraId="7069642A" w14:textId="77777777" w:rsidR="00125EFF" w:rsidRPr="00125EFF" w:rsidRDefault="00125EFF" w:rsidP="00125EFF">
      <w:pPr>
        <w:spacing w:line="480" w:lineRule="auto"/>
      </w:pPr>
      <w:r w:rsidRPr="00125EFF">
        <w:t>(1) Who are the past and present caretakers of the child;</w:t>
      </w:r>
    </w:p>
    <w:p w14:paraId="1634908D" w14:textId="77777777" w:rsidR="00125EFF" w:rsidRPr="00125EFF" w:rsidRDefault="00125EFF" w:rsidP="00125EFF">
      <w:pPr>
        <w:spacing w:line="480" w:lineRule="auto"/>
        <w:ind w:left="720" w:firstLine="0"/>
      </w:pPr>
      <w:r w:rsidRPr="00125EFF">
        <w:t>(2) With whom has the child formed psychological bonds and the strength of those bonds;</w:t>
      </w:r>
    </w:p>
    <w:p w14:paraId="799A3D46" w14:textId="77777777" w:rsidR="00125EFF" w:rsidRPr="00125EFF" w:rsidRDefault="00125EFF" w:rsidP="00125EFF">
      <w:pPr>
        <w:spacing w:line="480" w:lineRule="auto"/>
        <w:ind w:left="720" w:firstLine="0"/>
      </w:pPr>
      <w:r w:rsidRPr="00125EFF">
        <w:t>(3) Whether competing parties evidenced an interest in, and contact with, the child over time; and</w:t>
      </w:r>
    </w:p>
    <w:p w14:paraId="2D2D8E48" w14:textId="77777777" w:rsidR="00125EFF" w:rsidRDefault="00125EFF" w:rsidP="00125EFF">
      <w:pPr>
        <w:spacing w:line="480" w:lineRule="auto"/>
        <w:ind w:left="720" w:firstLine="0"/>
      </w:pPr>
      <w:r w:rsidRPr="00125EFF">
        <w:t>(4) Whether the child has unique medical or psychological needs that one party is better able to meet.</w:t>
      </w:r>
    </w:p>
    <w:p w14:paraId="1D8FE055" w14:textId="4B9BAA28" w:rsidR="00125EFF" w:rsidRDefault="00125EFF" w:rsidP="00125EFF">
      <w:pPr>
        <w:spacing w:line="480" w:lineRule="auto"/>
        <w:ind w:firstLine="0"/>
      </w:pPr>
      <w:r>
        <w:t>Again, this action cannot be initiated if parents are not separated and the child is living with both parents (same as “grandparent visitation”)</w:t>
      </w:r>
    </w:p>
    <w:p w14:paraId="5BFA88FA" w14:textId="104884E6" w:rsidR="00125EFF" w:rsidRDefault="00125EFF" w:rsidP="00150379">
      <w:pPr>
        <w:spacing w:line="480" w:lineRule="auto"/>
        <w:ind w:left="720" w:firstLine="0"/>
      </w:pPr>
      <w:r>
        <w:lastRenderedPageBreak/>
        <w:t xml:space="preserve">For our judges – the statute specifically authorizes you to conduct a hearing on an expedited basis to determine “disputed facts” </w:t>
      </w:r>
      <w:r w:rsidR="00150379">
        <w:t>that are relevant to standing of the petitioner</w:t>
      </w:r>
    </w:p>
    <w:p w14:paraId="29361CBB" w14:textId="37B44459" w:rsidR="00150379" w:rsidRPr="00125EFF" w:rsidRDefault="00150379" w:rsidP="00150379">
      <w:pPr>
        <w:spacing w:line="480" w:lineRule="auto"/>
        <w:ind w:firstLine="0"/>
      </w:pPr>
      <w:r>
        <w:pict w14:anchorId="5B64739D">
          <v:rect id="_x0000_i1053" style="width:0;height:1.5pt" o:hralign="center" o:hrstd="t" o:hr="t" fillcolor="#a0a0a0" stroked="f"/>
        </w:pict>
      </w:r>
    </w:p>
    <w:p w14:paraId="7EA41DC2" w14:textId="485BE26B" w:rsidR="00E74779" w:rsidRDefault="007E6263" w:rsidP="00E74779">
      <w:pPr>
        <w:spacing w:line="480" w:lineRule="auto"/>
        <w:ind w:firstLine="0"/>
        <w:rPr>
          <w:b/>
          <w:bCs/>
        </w:rPr>
      </w:pPr>
      <w:r>
        <w:rPr>
          <w:b/>
          <w:bCs/>
        </w:rPr>
        <w:t>The Courts and OCGA § 19-7-3.1</w:t>
      </w:r>
    </w:p>
    <w:p w14:paraId="502CE0D0" w14:textId="7F7BDAA8" w:rsidR="007E6263" w:rsidRDefault="002040C2" w:rsidP="00E74779">
      <w:pPr>
        <w:spacing w:line="480" w:lineRule="auto"/>
        <w:ind w:firstLine="0"/>
      </w:pPr>
      <w:r>
        <w:t xml:space="preserve">Our Supreme Court discussed the Equitable Caregiver Statute at length in a few decisions, but we are going to delve deeply into only a couple – </w:t>
      </w:r>
      <w:r>
        <w:rPr>
          <w:i/>
          <w:iCs/>
        </w:rPr>
        <w:t>Dias v. Boone</w:t>
      </w:r>
      <w:r>
        <w:t>, 320 Ga. 785, 794-795 (912 SE2d 547) (2025)</w:t>
      </w:r>
      <w:r>
        <w:t xml:space="preserve"> and the recent case of </w:t>
      </w:r>
      <w:r w:rsidR="007D30A0">
        <w:rPr>
          <w:i/>
          <w:iCs/>
        </w:rPr>
        <w:t>Venticinque v. Lair</w:t>
      </w:r>
      <w:r w:rsidR="007D30A0">
        <w:t>, __ Ga. __, 924 SE2d 312 (December 9, 2025)</w:t>
      </w:r>
      <w:r>
        <w:t xml:space="preserve">. We will refer to them as </w:t>
      </w:r>
      <w:r>
        <w:rPr>
          <w:i/>
          <w:iCs/>
        </w:rPr>
        <w:t>Boone</w:t>
      </w:r>
      <w:r>
        <w:t xml:space="preserve"> and </w:t>
      </w:r>
      <w:r>
        <w:rPr>
          <w:i/>
          <w:iCs/>
        </w:rPr>
        <w:t>Lair</w:t>
      </w:r>
      <w:r>
        <w:t xml:space="preserve"> for ease of reference.</w:t>
      </w:r>
    </w:p>
    <w:p w14:paraId="216B5252" w14:textId="5FA365EB" w:rsidR="00150379" w:rsidRDefault="00150379" w:rsidP="00E74779">
      <w:pPr>
        <w:spacing w:line="480" w:lineRule="auto"/>
        <w:ind w:firstLine="0"/>
      </w:pPr>
      <w:r>
        <w:pict w14:anchorId="3C889AB2">
          <v:rect id="_x0000_i1054" style="width:0;height:1.5pt" o:hralign="center" o:hrstd="t" o:hr="t" fillcolor="#a0a0a0" stroked="f"/>
        </w:pict>
      </w:r>
    </w:p>
    <w:p w14:paraId="645D6A33" w14:textId="4395FB0A" w:rsidR="00150379" w:rsidRPr="00150379" w:rsidRDefault="00150379" w:rsidP="00E74779">
      <w:pPr>
        <w:spacing w:line="480" w:lineRule="auto"/>
        <w:ind w:firstLine="0"/>
      </w:pPr>
      <w:r>
        <w:rPr>
          <w:b/>
          <w:bCs/>
          <w:i/>
          <w:iCs/>
        </w:rPr>
        <w:t>Boone</w:t>
      </w:r>
    </w:p>
    <w:p w14:paraId="4DBEB5FA" w14:textId="229637CE" w:rsidR="007D30A0" w:rsidRDefault="007D30A0" w:rsidP="007D30A0">
      <w:pPr>
        <w:spacing w:line="480" w:lineRule="auto"/>
        <w:ind w:left="720" w:firstLine="0"/>
      </w:pPr>
      <w:r>
        <w:t xml:space="preserve">In </w:t>
      </w:r>
      <w:r>
        <w:rPr>
          <w:i/>
          <w:iCs/>
        </w:rPr>
        <w:t>Boone</w:t>
      </w:r>
      <w:r>
        <w:t>, the Ga. Supreme Court spent considerable time discussing whether a case involving the Equitable Caregiver Act was directly appealable and ultimately concluded that the statute was not applicable to the facts of that case because the petitioner’s contact with the child actually predated the passage of the Equitable Caregiver Act.</w:t>
      </w:r>
    </w:p>
    <w:p w14:paraId="08FFA96B" w14:textId="5A6484E1" w:rsidR="007D30A0" w:rsidRDefault="007D30A0" w:rsidP="007D30A0">
      <w:pPr>
        <w:spacing w:line="480" w:lineRule="auto"/>
        <w:ind w:firstLine="0"/>
      </w:pPr>
      <w:r>
        <w:lastRenderedPageBreak/>
        <w:t>But the Supreme Court took the time along the way to delve deeply into constitutionally of the Act.</w:t>
      </w:r>
    </w:p>
    <w:p w14:paraId="0FAB482A" w14:textId="24682185" w:rsidR="007D30A0" w:rsidRPr="007D30A0" w:rsidRDefault="007D30A0" w:rsidP="007D30A0">
      <w:pPr>
        <w:spacing w:line="480" w:lineRule="auto"/>
        <w:ind w:firstLine="0"/>
      </w:pPr>
      <w:r>
        <w:tab/>
        <w:t xml:space="preserve">The </w:t>
      </w:r>
      <w:r>
        <w:rPr>
          <w:i/>
          <w:iCs/>
        </w:rPr>
        <w:t>Boone</w:t>
      </w:r>
      <w:r>
        <w:t xml:space="preserve"> Court noted that the Equitable Caregiver act “</w:t>
      </w:r>
      <w:r w:rsidRPr="007D30A0">
        <w:t xml:space="preserve">contains statements of respect for a parent's fundamental right to the care, custody, and control of her child. The statute requires a putative equitable caregiver to show by clear and convincing evidence </w:t>
      </w:r>
      <w:r>
        <w:t>‘</w:t>
      </w:r>
      <w:r w:rsidRPr="007D30A0">
        <w:t>that the child will suffer physical harm or long-term emotional harm[.]</w:t>
      </w:r>
      <w:r>
        <w:t>’</w:t>
      </w:r>
      <w:r w:rsidRPr="007D30A0">
        <w:t> </w:t>
      </w:r>
      <w:r w:rsidRPr="007D30A0">
        <w:rPr>
          <w:bCs/>
        </w:rPr>
        <w:t>OCGA § 19-7-3.1 (d) (5)</w:t>
      </w:r>
      <w:r w:rsidRPr="007D30A0">
        <w:t xml:space="preserve">. The statute also states that </w:t>
      </w:r>
      <w:r>
        <w:t>‘</w:t>
      </w:r>
      <w:r w:rsidRPr="007D30A0">
        <w:t>[t]he adjudication of a person under this Code section as an equitable caregiver does not disestablish the parentage of any other parent.</w:t>
      </w:r>
      <w:r>
        <w:t>’</w:t>
      </w:r>
      <w:r w:rsidRPr="007D30A0">
        <w:t>”</w:t>
      </w:r>
      <w:r>
        <w:t xml:space="preserve"> </w:t>
      </w:r>
      <w:r>
        <w:rPr>
          <w:i/>
          <w:iCs/>
        </w:rPr>
        <w:t>Boone</w:t>
      </w:r>
      <w:r>
        <w:t>, 320 Ga. at 797.</w:t>
      </w:r>
    </w:p>
    <w:p w14:paraId="1B1BC748" w14:textId="44D7C332" w:rsidR="007D30A0" w:rsidRDefault="007D30A0" w:rsidP="007D30A0">
      <w:pPr>
        <w:spacing w:line="480" w:lineRule="auto"/>
        <w:ind w:left="720" w:firstLine="0"/>
      </w:pPr>
      <w:r>
        <w:t xml:space="preserve">However, the Court went on to note that the Act does not explicitly require trial courts to give deference to the parent’s judgment as appears in the “Grandparent Visitation” statute and the Act does not contain a presumption that it is in the best interests of a child to be in the custody of his/her legal parent </w:t>
      </w:r>
      <w:r>
        <w:rPr>
          <w:i/>
          <w:iCs/>
        </w:rPr>
        <w:t>Boone</w:t>
      </w:r>
      <w:r>
        <w:t>, at 797.</w:t>
      </w:r>
    </w:p>
    <w:p w14:paraId="6391BD56" w14:textId="2A22BD48" w:rsidR="007D30A0" w:rsidRDefault="007D30A0" w:rsidP="007D30A0">
      <w:pPr>
        <w:spacing w:line="480" w:lineRule="auto"/>
        <w:ind w:firstLine="0"/>
      </w:pPr>
      <w:r>
        <w:t xml:space="preserve">The </w:t>
      </w:r>
      <w:r>
        <w:rPr>
          <w:i/>
          <w:iCs/>
        </w:rPr>
        <w:t>Boone</w:t>
      </w:r>
      <w:r>
        <w:t xml:space="preserve"> Court then went on to note, “[e]</w:t>
      </w:r>
      <w:proofErr w:type="spellStart"/>
      <w:r w:rsidRPr="007D30A0">
        <w:t>ven</w:t>
      </w:r>
      <w:proofErr w:type="spellEnd"/>
      <w:r w:rsidRPr="007D30A0">
        <w:t xml:space="preserve"> more troubling, the Equitable Caregiver Statute on its face does not require that relief awarded to an equitable caregiver be narrowly tailored to the harm or threatened harm that has been shown.</w:t>
      </w:r>
      <w:r>
        <w:t xml:space="preserve">” </w:t>
      </w:r>
      <w:r>
        <w:rPr>
          <w:i/>
          <w:iCs/>
        </w:rPr>
        <w:t>Boone</w:t>
      </w:r>
      <w:r>
        <w:t>, at 797.</w:t>
      </w:r>
    </w:p>
    <w:p w14:paraId="2EC74B15" w14:textId="78FF9B4D" w:rsidR="0031015A" w:rsidRDefault="0031015A" w:rsidP="0031015A">
      <w:pPr>
        <w:spacing w:line="480" w:lineRule="auto"/>
        <w:ind w:left="720" w:firstLine="0"/>
      </w:pPr>
      <w:r>
        <w:lastRenderedPageBreak/>
        <w:t xml:space="preserve">The </w:t>
      </w:r>
      <w:r>
        <w:rPr>
          <w:i/>
          <w:iCs/>
        </w:rPr>
        <w:t>Boone</w:t>
      </w:r>
      <w:r>
        <w:t xml:space="preserve"> Court noted that the Act allows a trial court to grant custody to someone who qualifies as an “equitable caregiver” without first finding that the legal parent is unfit – the Court described that as a “serious question.” </w:t>
      </w:r>
      <w:r>
        <w:rPr>
          <w:i/>
          <w:iCs/>
        </w:rPr>
        <w:t>Boone</w:t>
      </w:r>
      <w:r>
        <w:t xml:space="preserve"> at 798.</w:t>
      </w:r>
    </w:p>
    <w:p w14:paraId="73AA78E1" w14:textId="0780F5E0" w:rsidR="0031015A" w:rsidRDefault="0031015A" w:rsidP="0031015A">
      <w:pPr>
        <w:spacing w:line="480" w:lineRule="auto"/>
        <w:ind w:firstLine="0"/>
      </w:pPr>
      <w:r>
        <w:t>The Court noted that even fundamental constitutional rights can be waived and holding out the “Putative Equitable Caregiver” as a parent could, potentially, qualify as a voluntary waiver of the fundamental right to parent.</w:t>
      </w:r>
    </w:p>
    <w:p w14:paraId="3C07BB72" w14:textId="26BA6DC6" w:rsidR="0031015A" w:rsidRDefault="0031015A" w:rsidP="00125EFF">
      <w:pPr>
        <w:spacing w:line="480" w:lineRule="auto"/>
        <w:ind w:left="720" w:firstLine="0"/>
      </w:pPr>
      <w:r>
        <w:t xml:space="preserve">But to constitute a waiver of that constitutional right to parent, the waiver must be “knowing” – given that many of the acts the putative equitable caregiver performed actually predated the existence of the Equitable Caregiver Act, the </w:t>
      </w:r>
      <w:r>
        <w:rPr>
          <w:i/>
          <w:iCs/>
        </w:rPr>
        <w:t>Boone</w:t>
      </w:r>
      <w:r>
        <w:t xml:space="preserve"> Court held that the parent could not have waived because the parent could not have been aware of the potential consequences of having held out the putative equitable caregiver as a “parent” because the statute did not yet exist.</w:t>
      </w:r>
      <w:r w:rsidR="00125EFF">
        <w:t xml:space="preserve"> </w:t>
      </w:r>
      <w:r w:rsidR="00125EFF">
        <w:rPr>
          <w:i/>
          <w:iCs/>
        </w:rPr>
        <w:t>Boone</w:t>
      </w:r>
      <w:r w:rsidR="00125EFF">
        <w:t>, at 800.</w:t>
      </w:r>
    </w:p>
    <w:p w14:paraId="17DD82EE" w14:textId="7EA3CD3F" w:rsidR="00150379" w:rsidRDefault="00150379" w:rsidP="00150379">
      <w:pPr>
        <w:spacing w:line="480" w:lineRule="auto"/>
        <w:ind w:firstLine="0"/>
      </w:pPr>
      <w:r>
        <w:pict w14:anchorId="210602BD">
          <v:rect id="_x0000_i1055" style="width:0;height:1.5pt" o:hralign="center" o:hrstd="t" o:hr="t" fillcolor="#a0a0a0" stroked="f"/>
        </w:pict>
      </w:r>
    </w:p>
    <w:p w14:paraId="362DD247" w14:textId="492B83EF" w:rsidR="00150379" w:rsidRDefault="00150379" w:rsidP="00150379">
      <w:pPr>
        <w:keepNext/>
        <w:spacing w:line="480" w:lineRule="auto"/>
        <w:ind w:firstLine="0"/>
      </w:pPr>
      <w:r>
        <w:rPr>
          <w:b/>
          <w:bCs/>
          <w:i/>
          <w:iCs/>
        </w:rPr>
        <w:lastRenderedPageBreak/>
        <w:t>Lair</w:t>
      </w:r>
    </w:p>
    <w:p w14:paraId="05C59EDD" w14:textId="6CD2AA40" w:rsidR="00150379" w:rsidRDefault="00150379" w:rsidP="00150379">
      <w:pPr>
        <w:spacing w:line="480" w:lineRule="auto"/>
        <w:ind w:firstLine="0"/>
      </w:pPr>
      <w:r>
        <w:t xml:space="preserve">Our Supreme Court recently decided </w:t>
      </w:r>
      <w:r>
        <w:rPr>
          <w:i/>
          <w:iCs/>
        </w:rPr>
        <w:t>Lair</w:t>
      </w:r>
      <w:r>
        <w:t xml:space="preserve"> and this is one of those cases where the reader probably needs to pay as much attention to the concurring opinion as the majority opinion</w:t>
      </w:r>
    </w:p>
    <w:p w14:paraId="608517F8" w14:textId="665374C6" w:rsidR="00150379" w:rsidRDefault="00150379" w:rsidP="00150379">
      <w:pPr>
        <w:spacing w:line="480" w:lineRule="auto"/>
        <w:ind w:left="720" w:firstLine="0"/>
      </w:pPr>
      <w:r>
        <w:t xml:space="preserve">The ultimate holding in </w:t>
      </w:r>
      <w:r>
        <w:rPr>
          <w:i/>
          <w:iCs/>
        </w:rPr>
        <w:t>Lair</w:t>
      </w:r>
      <w:r>
        <w:t xml:space="preserve"> is that the trial court improperly shifted the burden of proof as to potential harm to the child from the petitioner to the parent and so the case was vacated and remanded </w:t>
      </w:r>
      <w:r>
        <w:rPr>
          <w:i/>
          <w:iCs/>
        </w:rPr>
        <w:t>Lair</w:t>
      </w:r>
      <w:r>
        <w:t xml:space="preserve"> at 315.</w:t>
      </w:r>
    </w:p>
    <w:p w14:paraId="5F9B58DD" w14:textId="152F7BA1" w:rsidR="00150379" w:rsidRDefault="00150379" w:rsidP="00150379">
      <w:pPr>
        <w:spacing w:line="480" w:lineRule="auto"/>
        <w:ind w:firstLine="0"/>
      </w:pPr>
      <w:r>
        <w:t>To be clear, the burden of proof is on the petitioner to show, by clear and convincing evidence, that the child will suffer physical harm or long-term emotional harm if the petition is not granted.</w:t>
      </w:r>
    </w:p>
    <w:p w14:paraId="650C231D" w14:textId="2AB3C33F" w:rsidR="00150379" w:rsidRDefault="00150379" w:rsidP="00150379">
      <w:pPr>
        <w:spacing w:line="480" w:lineRule="auto"/>
        <w:ind w:left="720" w:firstLine="0"/>
      </w:pPr>
      <w:r>
        <w:t>The trial court’s order required the parent to prove harm if the petition was not granted and noted that the parent did not prove harm. That language in the order required the case to be vacated and remanded to the trial court.</w:t>
      </w:r>
    </w:p>
    <w:p w14:paraId="79BAEC5F" w14:textId="5C22296F" w:rsidR="00150379" w:rsidRDefault="00150379" w:rsidP="00150379">
      <w:pPr>
        <w:spacing w:line="480" w:lineRule="auto"/>
        <w:ind w:firstLine="0"/>
      </w:pPr>
      <w:r>
        <w:t>The concurring opinion authored by Chief Justice Peterson and joined by Justice Bethel, noted that there are significant constitutional concerns with the statute and they listed them as follows:</w:t>
      </w:r>
    </w:p>
    <w:p w14:paraId="7EE5F049" w14:textId="579BF934" w:rsidR="00150379" w:rsidRDefault="00150379" w:rsidP="00150379">
      <w:pPr>
        <w:spacing w:line="480" w:lineRule="auto"/>
        <w:ind w:left="720" w:firstLine="0"/>
      </w:pPr>
      <w:r>
        <w:t>“</w:t>
      </w:r>
      <w:r w:rsidRPr="00150379">
        <w:t xml:space="preserve">In particular, I want to (1) reemphasize that every remedy under the Equitable Caregiver Statute must be tailored to the harm to the child caused </w:t>
      </w:r>
      <w:r w:rsidRPr="00150379">
        <w:lastRenderedPageBreak/>
        <w:t>by the parent's particular decision regarding the child's contact with an adjudicated equitable caregiver; (2) explain why the Equitable Caregiver Statute cannot evade that requirement by creating a new class of persons with the constitutional rights of parents; and (3) explain why the mere existence of the Equitable Caregiver Statute at the time of actions by a parent fostering or supporting a parent-like relationship between a child and a third party is insufficient to satisfy the requirement that any waiver of a constitutional right must be knowing.</w:t>
      </w:r>
      <w:r w:rsidR="000D5965">
        <w:t>”</w:t>
      </w:r>
    </w:p>
    <w:p w14:paraId="395D2BD5" w14:textId="7AA3E1AE" w:rsidR="000D5965" w:rsidRDefault="000D5965" w:rsidP="000D5965">
      <w:pPr>
        <w:spacing w:line="480" w:lineRule="auto"/>
        <w:ind w:firstLine="0"/>
      </w:pPr>
      <w:r>
        <w:t>We are not going to recite the entire concurring opinion here, but it is definitely worth reading. Just a couple of highlights:</w:t>
      </w:r>
    </w:p>
    <w:p w14:paraId="6AC41172" w14:textId="474D6C72" w:rsidR="000D5965" w:rsidRDefault="000D5965" w:rsidP="000D5965">
      <w:pPr>
        <w:spacing w:line="480" w:lineRule="auto"/>
        <w:ind w:left="720" w:firstLine="0"/>
      </w:pPr>
      <w:r>
        <w:t>When discussing whether a petitioner can prove, within constitutional parameters, that a child can be harmed if not afforded contact with the putative EC, the concurring opinion held:</w:t>
      </w:r>
    </w:p>
    <w:p w14:paraId="204C3EE6" w14:textId="14FA24AE" w:rsidR="000D5965" w:rsidRPr="00EA1444" w:rsidRDefault="000D5965" w:rsidP="000D5965">
      <w:pPr>
        <w:spacing w:line="480" w:lineRule="auto"/>
        <w:ind w:left="1440" w:firstLine="0"/>
      </w:pPr>
      <w:r>
        <w:t>“</w:t>
      </w:r>
      <w:r w:rsidRPr="000D5965">
        <w:t xml:space="preserve">I can imagine such a scenario in which, notwithstanding a parent's constitutional rights, a court permissibly may override a fit parent's decision not to allow </w:t>
      </w:r>
      <w:r w:rsidRPr="000D5965">
        <w:rPr>
          <w:u w:val="single"/>
        </w:rPr>
        <w:t>visitation</w:t>
      </w:r>
      <w:r w:rsidRPr="000D5965">
        <w:t xml:space="preserve"> between the parent's child and an equitable caregiver, on the basis that denying such visitation threatens serious emotional or mental harm to the child. But as we said in </w:t>
      </w:r>
      <w:hyperlink r:id="rId9" w:history="1">
        <w:r w:rsidRPr="000D5965">
          <w:rPr>
            <w:rStyle w:val="Hyperlink"/>
            <w:i/>
            <w:iCs/>
          </w:rPr>
          <w:t>Dias</w:t>
        </w:r>
      </w:hyperlink>
      <w:r w:rsidRPr="000D5965">
        <w:t xml:space="preserve">, </w:t>
      </w:r>
      <w:r>
        <w:t>‘</w:t>
      </w:r>
      <w:r w:rsidRPr="000D5965">
        <w:t xml:space="preserve">it is difficult to conceive of a scenario in which a child will suffer </w:t>
      </w:r>
      <w:r w:rsidRPr="000D5965">
        <w:lastRenderedPageBreak/>
        <w:t>harm due to a fit parent's decision to decline to share </w:t>
      </w:r>
      <w:r w:rsidRPr="000D5965">
        <w:rPr>
          <w:i/>
          <w:iCs/>
          <w:u w:val="single"/>
        </w:rPr>
        <w:t>legal custody</w:t>
      </w:r>
      <w:r w:rsidRPr="000D5965">
        <w:t> (as opposed to merely allowing some visitation or other contact) with a third party.</w:t>
      </w:r>
      <w:r>
        <w:t>’</w:t>
      </w:r>
      <w:r w:rsidRPr="000D5965">
        <w:t> </w:t>
      </w:r>
      <w:r w:rsidRPr="000D5965">
        <w:rPr>
          <w:bCs/>
        </w:rPr>
        <w:t>320 Ga. at 798, 912 S.E.2d 547</w:t>
      </w:r>
      <w:r w:rsidRPr="000D5965">
        <w:t>. If the child's parent is fit, it seems difficult to show that a child will suffer the sort of harm that justifies State intervention by allowing that fit parent, rather than a third party, to make decisions about the child's education, extracurricular activities, health, and religious upbringing.</w:t>
      </w:r>
      <w:r>
        <w:t>”</w:t>
      </w:r>
      <w:r w:rsidR="00EA1444">
        <w:t xml:space="preserve"> </w:t>
      </w:r>
      <w:r w:rsidR="00EA1444">
        <w:rPr>
          <w:i/>
          <w:iCs/>
        </w:rPr>
        <w:t>Lair</w:t>
      </w:r>
      <w:r w:rsidR="00EA1444">
        <w:t xml:space="preserve">, at __, 317. </w:t>
      </w:r>
    </w:p>
    <w:p w14:paraId="4371A7D0" w14:textId="07EC2DC6" w:rsidR="000D5965" w:rsidRDefault="000D5965" w:rsidP="000D5965">
      <w:pPr>
        <w:spacing w:line="480" w:lineRule="auto"/>
        <w:ind w:firstLine="0"/>
      </w:pPr>
      <w:r>
        <w:t xml:space="preserve">The concurring opinion went on to provide a reminder that we have attempted to provide listeners to this podcast on about 793 prior occasions – YOU CANNOT AWARD JOINT LEGAL CUSTODY BETWEEN A PARENT AND A NON-PARENT!!!” </w:t>
      </w:r>
      <w:r>
        <w:rPr>
          <w:i/>
          <w:iCs/>
        </w:rPr>
        <w:t>Steedly v. Gilbreath</w:t>
      </w:r>
      <w:r>
        <w:t>, 359 Ga. App. 551, 552-553 (2021)</w:t>
      </w:r>
      <w:r>
        <w:t xml:space="preserve">; </w:t>
      </w:r>
      <w:r>
        <w:rPr>
          <w:i/>
          <w:iCs/>
        </w:rPr>
        <w:t>Stone v. Stone</w:t>
      </w:r>
      <w:r>
        <w:t xml:space="preserve">, </w:t>
      </w:r>
      <w:r w:rsidR="00EA1444">
        <w:t>297 Ga. 451, 452-453 (2015).</w:t>
      </w:r>
    </w:p>
    <w:p w14:paraId="361A89E0" w14:textId="77777777" w:rsidR="00EA1444" w:rsidRDefault="00EA1444" w:rsidP="00EA1444">
      <w:pPr>
        <w:spacing w:line="480" w:lineRule="auto"/>
        <w:ind w:left="720" w:firstLine="0"/>
      </w:pPr>
      <w:r>
        <w:t xml:space="preserve">After restating that joint legal custody cannot be awarded to a parent and a non-parent, the concurring opinion held </w:t>
      </w:r>
    </w:p>
    <w:p w14:paraId="318E3CC1" w14:textId="5F1EA7DC" w:rsidR="00EA1444" w:rsidRDefault="00EA1444" w:rsidP="00EA1444">
      <w:pPr>
        <w:spacing w:line="480" w:lineRule="auto"/>
        <w:ind w:left="1440" w:firstLine="0"/>
      </w:pPr>
      <w:r>
        <w:t>“</w:t>
      </w:r>
      <w:r w:rsidRPr="00EA1444">
        <w:t xml:space="preserve">When determining custody between two parents, both parents generally have the same constitutional rights. But in deciding issues of custody and visitation under the Equitable Caregiver Statute, a trial court is faced with a parent, who has the constitutional rights of a </w:t>
      </w:r>
      <w:r w:rsidRPr="00EA1444">
        <w:lastRenderedPageBreak/>
        <w:t>parent, and an equitable caregiver, who is not a parent and so does not have the constitutional rights of a parent.</w:t>
      </w:r>
      <w:r>
        <w:t xml:space="preserve">” </w:t>
      </w:r>
      <w:r>
        <w:rPr>
          <w:i/>
          <w:iCs/>
        </w:rPr>
        <w:t>Lair</w:t>
      </w:r>
      <w:r>
        <w:t>, at __, 318.</w:t>
      </w:r>
    </w:p>
    <w:p w14:paraId="3B1CBDCA" w14:textId="39795BF5" w:rsidR="00EA1444" w:rsidRDefault="00EA1444" w:rsidP="00EA1444">
      <w:pPr>
        <w:spacing w:line="480" w:lineRule="auto"/>
        <w:ind w:firstLine="0"/>
      </w:pPr>
      <w:r>
        <w:t>Finally, the concurring opinion addressed the petitioner’s argument that the parent of the child “waived” the constitutional right to parent by voluntarily allowing the petitioner to serve in a parenting role. After acknowledging that even fundamental constitutional rights can be waived, the concurring opinion noted that the mere existence of the EC Statute does not prove that the parent waived any right to parent. Instead, the concurring opinion suggests that a waiver argument would require proof that the parent had actual knowledge that allowing the putative EC to serve as a parent could result in a finding of waiver.</w:t>
      </w:r>
    </w:p>
    <w:p w14:paraId="68B1B3FA" w14:textId="4FA2AAD0" w:rsidR="00EA1444" w:rsidRDefault="00EA1444" w:rsidP="00EA1444">
      <w:pPr>
        <w:spacing w:line="480" w:lineRule="auto"/>
        <w:ind w:firstLine="0"/>
      </w:pPr>
      <w:r>
        <w:pict w14:anchorId="1B315BFD">
          <v:rect id="_x0000_i1056" style="width:0;height:1.5pt" o:hralign="center" o:hrstd="t" o:hr="t" fillcolor="#a0a0a0" stroked="f"/>
        </w:pict>
      </w:r>
    </w:p>
    <w:p w14:paraId="747BF958" w14:textId="7F37B516" w:rsidR="00EA1444" w:rsidRPr="00EA1444" w:rsidRDefault="00EA1444" w:rsidP="00EA1444">
      <w:pPr>
        <w:spacing w:line="480" w:lineRule="auto"/>
        <w:ind w:firstLine="0"/>
        <w:rPr>
          <w:b/>
          <w:bCs/>
        </w:rPr>
      </w:pPr>
      <w:r w:rsidRPr="00EA1444">
        <w:rPr>
          <w:b/>
          <w:bCs/>
        </w:rPr>
        <w:t>TAKEAWAY</w:t>
      </w:r>
    </w:p>
    <w:p w14:paraId="707C7544" w14:textId="281C4383" w:rsidR="00E74779" w:rsidRDefault="00EA1444" w:rsidP="00E74779">
      <w:pPr>
        <w:spacing w:line="480" w:lineRule="auto"/>
        <w:ind w:firstLine="0"/>
      </w:pPr>
      <w:r>
        <w:t>Contrary to the arguments of some, the EC statute has not been declared unconstitutional.</w:t>
      </w:r>
    </w:p>
    <w:p w14:paraId="1F77C749" w14:textId="2F0517D0" w:rsidR="00EA1444" w:rsidRDefault="00EA1444" w:rsidP="00B55E17">
      <w:pPr>
        <w:spacing w:line="480" w:lineRule="auto"/>
        <w:ind w:left="720" w:firstLine="0"/>
      </w:pPr>
      <w:r>
        <w:t xml:space="preserve">However, there is going to have to be a well-developed record and a unique set of facts </w:t>
      </w:r>
      <w:r w:rsidR="00B55E17">
        <w:t>for a petitioner to meet the stringent requirements of the statute itself and the underlying constitutional provisions.</w:t>
      </w:r>
    </w:p>
    <w:p w14:paraId="57EF0B4E" w14:textId="2DF45AAC" w:rsidR="00B55E17" w:rsidRDefault="00B55E17" w:rsidP="00B55E17">
      <w:pPr>
        <w:spacing w:line="480" w:lineRule="auto"/>
        <w:ind w:firstLine="0"/>
      </w:pPr>
      <w:r>
        <w:lastRenderedPageBreak/>
        <w:t xml:space="preserve">Without expressly saying it, it seems that our Supreme Court has sent the warning that awarding </w:t>
      </w:r>
      <w:r>
        <w:rPr>
          <w:i/>
          <w:iCs/>
        </w:rPr>
        <w:t>CUSTODY</w:t>
      </w:r>
      <w:r>
        <w:t xml:space="preserve"> under this statute will be incredibly difficult to sustain on appeal.</w:t>
      </w:r>
    </w:p>
    <w:p w14:paraId="54BB10FF" w14:textId="4B18D3DB" w:rsidR="00B55E17" w:rsidRDefault="00B55E17" w:rsidP="00B55E17">
      <w:pPr>
        <w:spacing w:line="480" w:lineRule="auto"/>
        <w:ind w:left="720" w:firstLine="0"/>
      </w:pPr>
      <w:r>
        <w:t>And, for the 794</w:t>
      </w:r>
      <w:r w:rsidRPr="00B55E17">
        <w:rPr>
          <w:vertAlign w:val="superscript"/>
        </w:rPr>
        <w:t>TH</w:t>
      </w:r>
      <w:r>
        <w:t xml:space="preserve"> time, we remind our judge listeners that you cannot award joint legal custody between a parent and a third party non-parent</w:t>
      </w:r>
    </w:p>
    <w:p w14:paraId="79D57F2A" w14:textId="455CC37D" w:rsidR="00B55E17" w:rsidRDefault="00B55E17" w:rsidP="00B55E17">
      <w:pPr>
        <w:spacing w:line="480" w:lineRule="auto"/>
        <w:ind w:firstLine="0"/>
      </w:pPr>
      <w:r>
        <w:t xml:space="preserve">So, under the correct facts and record, you may be able to award visitation between an </w:t>
      </w:r>
      <w:r>
        <w:rPr>
          <w:i/>
          <w:iCs/>
        </w:rPr>
        <w:t>adjudicated</w:t>
      </w:r>
      <w:r>
        <w:t xml:space="preserve"> EC and a child/children but there would have to be unique facts to support an award of custody to an </w:t>
      </w:r>
      <w:r>
        <w:rPr>
          <w:i/>
          <w:iCs/>
        </w:rPr>
        <w:t xml:space="preserve">adjudicated </w:t>
      </w:r>
      <w:r>
        <w:t>EC.</w:t>
      </w:r>
    </w:p>
    <w:p w14:paraId="12F2B683" w14:textId="7CB95E77" w:rsidR="00B55E17" w:rsidRDefault="00B55E17" w:rsidP="00B55E17">
      <w:pPr>
        <w:spacing w:line="480" w:lineRule="auto"/>
        <w:ind w:left="720" w:firstLine="0"/>
      </w:pPr>
      <w:r>
        <w:t>Our thanks to Professor Melissa Carter for helping us maneuver through this legal mine field.</w:t>
      </w:r>
    </w:p>
    <w:p w14:paraId="701C82E2" w14:textId="4AE0F6CF" w:rsidR="00B55E17" w:rsidRDefault="00B55E17" w:rsidP="00B55E17">
      <w:pPr>
        <w:spacing w:line="480" w:lineRule="auto"/>
        <w:ind w:firstLine="0"/>
      </w:pPr>
      <w:r>
        <w:t>Now, for the most popular portion of our podcast, the music trivia section:</w:t>
      </w:r>
    </w:p>
    <w:p w14:paraId="68688E04" w14:textId="235BA360" w:rsidR="00B55E17" w:rsidRPr="00B55E17" w:rsidRDefault="00B55E17" w:rsidP="00B55E17">
      <w:pPr>
        <w:spacing w:line="480" w:lineRule="auto"/>
        <w:ind w:firstLine="0"/>
      </w:pPr>
      <w:r>
        <w:pict w14:anchorId="7CBE15EA">
          <v:rect id="_x0000_i1057" style="width:0;height:1.5pt" o:hralign="center" o:hrstd="t" o:hr="t" fillcolor="#a0a0a0" stroked="f"/>
        </w:pict>
      </w:r>
    </w:p>
    <w:p w14:paraId="629B659D" w14:textId="187760C4" w:rsidR="00E74779" w:rsidRDefault="009D67BE" w:rsidP="00E74779">
      <w:pPr>
        <w:spacing w:line="480" w:lineRule="auto"/>
        <w:ind w:firstLine="0"/>
      </w:pPr>
      <w:r>
        <w:t>In honor of how much younger Professor Carter is than the two of your usual hosts, I decided to turn my attention to pop trivia from the 1990’s and 2000’s. A long time ago but probably in Professor Carter’s wheelhouse. And nothing says “Good Judge-Ment Podcast” like Tain getting beat in music trivia. We have tried to keep records of our prior trivia topics but I bet some of these are repeats. Ready? Let’s Go!</w:t>
      </w:r>
    </w:p>
    <w:p w14:paraId="33B19353" w14:textId="6E12049F" w:rsidR="00BB785D" w:rsidRDefault="00BB785D" w:rsidP="00E74779">
      <w:pPr>
        <w:spacing w:line="480" w:lineRule="auto"/>
        <w:ind w:firstLine="0"/>
      </w:pPr>
      <w:r>
        <w:lastRenderedPageBreak/>
        <w:pict w14:anchorId="6AD7A641">
          <v:rect id="_x0000_i1071" style="width:0;height:1.5pt" o:hralign="center" o:hrstd="t" o:hr="t" fillcolor="#a0a0a0" stroked="f"/>
        </w:pict>
      </w:r>
    </w:p>
    <w:p w14:paraId="303CE8CE" w14:textId="72C1A142" w:rsidR="009D67BE" w:rsidRDefault="009D67BE" w:rsidP="00E74779">
      <w:pPr>
        <w:spacing w:line="480" w:lineRule="auto"/>
        <w:ind w:firstLine="0"/>
      </w:pPr>
      <w:r>
        <w:t>1.</w:t>
      </w:r>
      <w:r>
        <w:tab/>
        <w:t>In 1998, a woman from Canada spent 42 weeks on the Billboard Hot 100 with this hit. She was a country cross-over pop sensation. I bet you can guess the artist but my question is, which song spent 42 weeks on the Hot 100?</w:t>
      </w:r>
    </w:p>
    <w:p w14:paraId="02EA5100" w14:textId="2CFCFF0A" w:rsidR="009D67BE" w:rsidRDefault="009D67BE" w:rsidP="00E74779">
      <w:pPr>
        <w:spacing w:line="480" w:lineRule="auto"/>
        <w:ind w:firstLine="0"/>
      </w:pPr>
      <w:r>
        <w:t>A.</w:t>
      </w:r>
      <w:r>
        <w:tab/>
      </w:r>
      <w:r w:rsidRPr="00554A4D">
        <w:rPr>
          <w:i/>
          <w:iCs/>
        </w:rPr>
        <w:t>You’re Still the One</w:t>
      </w:r>
      <w:r>
        <w:t xml:space="preserve"> by Shania Twain</w:t>
      </w:r>
    </w:p>
    <w:p w14:paraId="20434B6A" w14:textId="722ACEFE" w:rsidR="00BB785D" w:rsidRDefault="00BB785D" w:rsidP="00E74779">
      <w:pPr>
        <w:spacing w:line="480" w:lineRule="auto"/>
        <w:ind w:firstLine="0"/>
      </w:pPr>
      <w:r>
        <w:pict w14:anchorId="6C040B1A">
          <v:rect id="_x0000_i1072" style="width:0;height:1.5pt" o:hralign="center" o:hrstd="t" o:hr="t" fillcolor="#a0a0a0" stroked="f"/>
        </w:pict>
      </w:r>
    </w:p>
    <w:p w14:paraId="69DD5D5F" w14:textId="73F56105" w:rsidR="009D67BE" w:rsidRDefault="009D67BE" w:rsidP="00E74779">
      <w:pPr>
        <w:spacing w:line="480" w:lineRule="auto"/>
        <w:ind w:firstLine="0"/>
      </w:pPr>
      <w:r>
        <w:t xml:space="preserve">2. </w:t>
      </w:r>
      <w:r>
        <w:tab/>
        <w:t>This Swedish band recorded two big pop hits “The Sign” and “All That She Wants.” Really poppy and their name has some double entendre going on. Name the band.</w:t>
      </w:r>
    </w:p>
    <w:p w14:paraId="0C260254" w14:textId="3AF54EFE" w:rsidR="009D67BE" w:rsidRDefault="009D67BE" w:rsidP="00E74779">
      <w:pPr>
        <w:spacing w:line="480" w:lineRule="auto"/>
        <w:ind w:firstLine="0"/>
      </w:pPr>
      <w:r>
        <w:t>A.</w:t>
      </w:r>
      <w:r>
        <w:tab/>
        <w:t>Ace of Base</w:t>
      </w:r>
    </w:p>
    <w:p w14:paraId="7E67C2F7" w14:textId="6B6A3E45" w:rsidR="00BB785D" w:rsidRDefault="00BB785D" w:rsidP="00E74779">
      <w:pPr>
        <w:spacing w:line="480" w:lineRule="auto"/>
        <w:ind w:firstLine="0"/>
      </w:pPr>
      <w:r>
        <w:pict w14:anchorId="515600D1">
          <v:rect id="_x0000_i1073" style="width:0;height:1.5pt" o:hralign="center" o:hrstd="t" o:hr="t" fillcolor="#a0a0a0" stroked="f"/>
        </w:pict>
      </w:r>
    </w:p>
    <w:p w14:paraId="2356E061" w14:textId="31C4F54B" w:rsidR="009D67BE" w:rsidRDefault="009D67BE" w:rsidP="00E74779">
      <w:pPr>
        <w:spacing w:line="480" w:lineRule="auto"/>
        <w:ind w:firstLine="0"/>
      </w:pPr>
      <w:r>
        <w:t>3.</w:t>
      </w:r>
      <w:r>
        <w:tab/>
        <w:t>Destiny Child had a big hit with the song “Bootylicious.” But the song sampled an iconic song from the great Stevie Nicks. Which</w:t>
      </w:r>
      <w:r w:rsidR="00BB785D">
        <w:t xml:space="preserve"> iconic</w:t>
      </w:r>
      <w:r>
        <w:t xml:space="preserve"> Stevie Nicks song was sampled </w:t>
      </w:r>
      <w:r w:rsidR="00BB785D">
        <w:t>in “Bootylicious” (not an iconic song)?</w:t>
      </w:r>
    </w:p>
    <w:p w14:paraId="4AFCB57A" w14:textId="18E2E8A4" w:rsidR="00BB785D" w:rsidRDefault="00BB785D" w:rsidP="00E74779">
      <w:pPr>
        <w:spacing w:line="480" w:lineRule="auto"/>
        <w:ind w:firstLine="0"/>
      </w:pPr>
      <w:r>
        <w:t>A.</w:t>
      </w:r>
      <w:r>
        <w:tab/>
        <w:t>“</w:t>
      </w:r>
      <w:r w:rsidRPr="00554A4D">
        <w:rPr>
          <w:i/>
          <w:iCs/>
        </w:rPr>
        <w:t>Age of 17</w:t>
      </w:r>
      <w:r>
        <w:t>”</w:t>
      </w:r>
    </w:p>
    <w:p w14:paraId="6FACC8D5" w14:textId="67AD5B65" w:rsidR="00BB785D" w:rsidRDefault="00BB785D" w:rsidP="00E74779">
      <w:pPr>
        <w:spacing w:line="480" w:lineRule="auto"/>
        <w:ind w:firstLine="0"/>
      </w:pPr>
      <w:r>
        <w:pict w14:anchorId="213ACBE9">
          <v:rect id="_x0000_i1074" style="width:0;height:1.5pt" o:hralign="center" o:hrstd="t" o:hr="t" fillcolor="#a0a0a0" stroked="f"/>
        </w:pict>
      </w:r>
    </w:p>
    <w:p w14:paraId="267A2A6F" w14:textId="6E108525" w:rsidR="00BB785D" w:rsidRDefault="00BB785D" w:rsidP="00E74779">
      <w:pPr>
        <w:spacing w:line="480" w:lineRule="auto"/>
        <w:ind w:firstLine="0"/>
      </w:pPr>
      <w:r>
        <w:t>4.</w:t>
      </w:r>
      <w:r>
        <w:tab/>
        <w:t xml:space="preserve">Stacy Ferguson was originally a member of a 90’s girl group known as Wild Orchid. In the 2000’s, she joined a couple of other artists (male) with Atlanta ties </w:t>
      </w:r>
      <w:r>
        <w:lastRenderedPageBreak/>
        <w:t xml:space="preserve">and formed a group that was rather popular on the pop charts. </w:t>
      </w:r>
      <w:r w:rsidR="00554A4D">
        <w:t xml:space="preserve">She eventually went solo. </w:t>
      </w:r>
      <w:r>
        <w:t xml:space="preserve">Name the </w:t>
      </w:r>
      <w:r w:rsidR="00554A4D">
        <w:t xml:space="preserve">2000’s </w:t>
      </w:r>
      <w:r>
        <w:t>band?</w:t>
      </w:r>
    </w:p>
    <w:p w14:paraId="7A1DBDF9" w14:textId="2FDE3A0D" w:rsidR="00BB785D" w:rsidRPr="00554A4D" w:rsidRDefault="00BB785D" w:rsidP="00E74779">
      <w:pPr>
        <w:spacing w:line="480" w:lineRule="auto"/>
        <w:ind w:firstLine="0"/>
      </w:pPr>
      <w:r>
        <w:t>A.</w:t>
      </w:r>
      <w:r>
        <w:tab/>
        <w:t>Black Eyed Peas – “Fergie”</w:t>
      </w:r>
      <w:r w:rsidR="00554A4D">
        <w:t xml:space="preserve"> (</w:t>
      </w:r>
      <w:proofErr w:type="spellStart"/>
      <w:r w:rsidR="00554A4D">
        <w:t>Will.I.Am</w:t>
      </w:r>
      <w:proofErr w:type="spellEnd"/>
      <w:r w:rsidR="00554A4D">
        <w:t>) (</w:t>
      </w:r>
      <w:r w:rsidR="00554A4D" w:rsidRPr="00554A4D">
        <w:rPr>
          <w:i/>
          <w:iCs/>
        </w:rPr>
        <w:t>Let’s Get it Started</w:t>
      </w:r>
      <w:r w:rsidR="00554A4D">
        <w:rPr>
          <w:i/>
          <w:iCs/>
        </w:rPr>
        <w:t xml:space="preserve">, My Humps, Don’t </w:t>
      </w:r>
      <w:proofErr w:type="spellStart"/>
      <w:r w:rsidR="00554A4D">
        <w:rPr>
          <w:i/>
          <w:iCs/>
        </w:rPr>
        <w:t>Phunk</w:t>
      </w:r>
      <w:proofErr w:type="spellEnd"/>
      <w:r w:rsidR="00554A4D">
        <w:rPr>
          <w:i/>
          <w:iCs/>
        </w:rPr>
        <w:t xml:space="preserve"> with my Heart</w:t>
      </w:r>
      <w:r w:rsidR="00554A4D">
        <w:t>)</w:t>
      </w:r>
    </w:p>
    <w:p w14:paraId="368EFA93" w14:textId="371568D6" w:rsidR="00BB785D" w:rsidRDefault="00BB785D" w:rsidP="00E74779">
      <w:pPr>
        <w:spacing w:line="480" w:lineRule="auto"/>
        <w:ind w:firstLine="0"/>
      </w:pPr>
      <w:r>
        <w:t>5.</w:t>
      </w:r>
      <w:r>
        <w:tab/>
        <w:t>In 1992, a few cool things happened in pop music and one pop artist made quite a cultural splash. In a two parter, finish this Radiohead lyric from 1992 – and tell me the name of the song: “I wish __ _____ ________? Then, in the second part, what pop budding star tore a photo of the Pope at the end of her performance on SNL?</w:t>
      </w:r>
    </w:p>
    <w:p w14:paraId="379B5D23" w14:textId="6E49A87F" w:rsidR="00BB785D" w:rsidRDefault="00BB785D" w:rsidP="00E74779">
      <w:pPr>
        <w:spacing w:line="480" w:lineRule="auto"/>
        <w:ind w:firstLine="0"/>
      </w:pPr>
      <w:r>
        <w:t>A. “I wish I was special” from Creep; and Sinead O’Connor.</w:t>
      </w:r>
    </w:p>
    <w:p w14:paraId="038DFC30" w14:textId="7ED0E66D" w:rsidR="00BB785D" w:rsidRDefault="00BB785D" w:rsidP="00E74779">
      <w:pPr>
        <w:spacing w:line="480" w:lineRule="auto"/>
        <w:ind w:firstLine="0"/>
      </w:pPr>
      <w:r>
        <w:pict w14:anchorId="7D213A92">
          <v:rect id="_x0000_i1070" style="width:0;height:1.5pt" o:hralign="center" o:hrstd="t" o:hr="t" fillcolor="#a0a0a0" stroked="f"/>
        </w:pict>
      </w:r>
    </w:p>
    <w:p w14:paraId="0F511136" w14:textId="3E6BD766" w:rsidR="00265ED1" w:rsidRDefault="00265ED1" w:rsidP="00F56587">
      <w:pPr>
        <w:spacing w:line="480" w:lineRule="auto"/>
        <w:ind w:firstLine="0"/>
      </w:pPr>
      <w:r>
        <w:t xml:space="preserve">Thank you for listening and remember – </w:t>
      </w:r>
      <w:r w:rsidR="00B55E17">
        <w:t>if you can’t say something nice, just be quiet</w:t>
      </w:r>
      <w:r>
        <w:t>.</w:t>
      </w:r>
    </w:p>
    <w:p w14:paraId="0784EABF" w14:textId="61EF879A" w:rsidR="002A157E" w:rsidRDefault="002A157E"/>
    <w:sectPr w:rsidR="002A157E">
      <w:footerReference w:type="default" r:id="rId10"/>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B75FD" w14:textId="77777777" w:rsidR="000F2EA0" w:rsidRDefault="000F2EA0" w:rsidP="003F5555">
      <w:pPr>
        <w:spacing w:after="0" w:line="240" w:lineRule="auto"/>
      </w:pPr>
      <w:r>
        <w:separator/>
      </w:r>
    </w:p>
  </w:endnote>
  <w:endnote w:type="continuationSeparator" w:id="0">
    <w:p w14:paraId="2693DBA6" w14:textId="77777777" w:rsidR="000F2EA0" w:rsidRDefault="000F2EA0" w:rsidP="003F5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4325F" w14:textId="77777777" w:rsidR="00F56587" w:rsidRDefault="00F56587" w:rsidP="00203CFD">
    <w:pPr>
      <w:pStyle w:val="Footer"/>
      <w:rPr>
        <w:b w:val="0"/>
        <w:szCs w:val="20"/>
      </w:rPr>
    </w:pPr>
  </w:p>
  <w:p w14:paraId="7D8D3B41" w14:textId="77777777" w:rsidR="00F56587" w:rsidRDefault="00F56587" w:rsidP="00203CFD">
    <w:pPr>
      <w:pStyle w:val="Footer"/>
      <w:rPr>
        <w:szCs w:val="20"/>
      </w:rPr>
    </w:pPr>
  </w:p>
  <w:p w14:paraId="2E27172A" w14:textId="112D8A46" w:rsidR="00F56587" w:rsidRDefault="001472C0" w:rsidP="00203CFD">
    <w:pPr>
      <w:pStyle w:val="Footer"/>
      <w:rPr>
        <w:szCs w:val="20"/>
      </w:rPr>
    </w:pPr>
    <w:r>
      <w:rPr>
        <w:szCs w:val="20"/>
      </w:rPr>
      <w:t>EQUITABLE CAREGIVER</w:t>
    </w:r>
  </w:p>
  <w:p w14:paraId="2CB06520" w14:textId="27EEF1F6" w:rsidR="00F56587" w:rsidRDefault="001472C0" w:rsidP="00203CFD">
    <w:pPr>
      <w:pStyle w:val="Footer"/>
      <w:rPr>
        <w:b w:val="0"/>
        <w:szCs w:val="20"/>
      </w:rPr>
    </w:pPr>
    <w:r>
      <w:rPr>
        <w:szCs w:val="20"/>
      </w:rPr>
      <w:t xml:space="preserve">RECORDED </w:t>
    </w:r>
    <w:r w:rsidR="00F56587">
      <w:rPr>
        <w:szCs w:val="20"/>
      </w:rPr>
      <w:t xml:space="preserve"> </w:t>
    </w:r>
    <w:r>
      <w:rPr>
        <w:szCs w:val="20"/>
      </w:rPr>
      <w:t>2/23/2026</w:t>
    </w:r>
  </w:p>
  <w:p w14:paraId="06243F51" w14:textId="77777777" w:rsidR="00F56587" w:rsidRDefault="00F56587" w:rsidP="00203CFD">
    <w:pPr>
      <w:pStyle w:val="Footer"/>
    </w:pPr>
    <w:r>
      <w:rPr>
        <w:szCs w:val="20"/>
      </w:rPr>
      <w:t xml:space="preserve">PAGE </w:t>
    </w:r>
    <w:r>
      <w:rPr>
        <w:b w:val="0"/>
        <w:szCs w:val="20"/>
      </w:rPr>
      <w:fldChar w:fldCharType="begin"/>
    </w:r>
    <w:r>
      <w:rPr>
        <w:szCs w:val="20"/>
      </w:rPr>
      <w:instrText xml:space="preserve"> PAGE  \* Arabic  \* MERGEFORMAT </w:instrText>
    </w:r>
    <w:r>
      <w:rPr>
        <w:b w:val="0"/>
        <w:szCs w:val="20"/>
      </w:rPr>
      <w:fldChar w:fldCharType="separate"/>
    </w:r>
    <w:r w:rsidR="006729C9">
      <w:rPr>
        <w:noProof/>
        <w:szCs w:val="20"/>
      </w:rPr>
      <w:t>1</w:t>
    </w:r>
    <w:r>
      <w:rPr>
        <w:b w:val="0"/>
        <w:szCs w:val="20"/>
      </w:rPr>
      <w:fldChar w:fldCharType="end"/>
    </w:r>
    <w:r>
      <w:rPr>
        <w:szCs w:val="20"/>
      </w:rPr>
      <w:t xml:space="preserve"> OF </w:t>
    </w:r>
    <w:r>
      <w:rPr>
        <w:b w:val="0"/>
        <w:szCs w:val="20"/>
      </w:rPr>
      <w:fldChar w:fldCharType="begin"/>
    </w:r>
    <w:r>
      <w:rPr>
        <w:szCs w:val="20"/>
      </w:rPr>
      <w:instrText xml:space="preserve"> NUMPAGES  \* Arabic  \* MERGEFORMAT </w:instrText>
    </w:r>
    <w:r>
      <w:rPr>
        <w:b w:val="0"/>
        <w:szCs w:val="20"/>
      </w:rPr>
      <w:fldChar w:fldCharType="separate"/>
    </w:r>
    <w:r w:rsidR="006729C9">
      <w:rPr>
        <w:noProof/>
        <w:szCs w:val="20"/>
      </w:rPr>
      <w:t>13</w:t>
    </w:r>
    <w:r>
      <w:rPr>
        <w:b w:val="0"/>
        <w:szCs w:val="20"/>
      </w:rPr>
      <w:fldChar w:fldCharType="end"/>
    </w:r>
  </w:p>
  <w:p w14:paraId="379DACDD" w14:textId="77777777" w:rsidR="00F56587" w:rsidRDefault="00F565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8A73C" w14:textId="77777777" w:rsidR="000F2EA0" w:rsidRDefault="000F2EA0" w:rsidP="003F5555">
      <w:pPr>
        <w:spacing w:after="0" w:line="240" w:lineRule="auto"/>
      </w:pPr>
      <w:r>
        <w:separator/>
      </w:r>
    </w:p>
  </w:footnote>
  <w:footnote w:type="continuationSeparator" w:id="0">
    <w:p w14:paraId="1F2A1799" w14:textId="77777777" w:rsidR="000F2EA0" w:rsidRDefault="000F2EA0" w:rsidP="003F55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2355"/>
    <w:multiLevelType w:val="multilevel"/>
    <w:tmpl w:val="C75A3C70"/>
    <w:styleLink w:val="JordiesClass"/>
    <w:lvl w:ilvl="0">
      <w:start w:val="1"/>
      <w:numFmt w:val="decimal"/>
      <w:lvlText w:val="%1)"/>
      <w:lvlJc w:val="left"/>
      <w:pPr>
        <w:tabs>
          <w:tab w:val="num" w:pos="144"/>
        </w:tabs>
        <w:ind w:left="0" w:firstLine="0"/>
      </w:pPr>
      <w:rPr>
        <w:rFonts w:ascii="Times New Roman" w:hAnsi="Times New Roman"/>
        <w:color w:val="auto"/>
        <w:sz w:val="28"/>
      </w:rPr>
    </w:lvl>
    <w:lvl w:ilvl="1">
      <w:start w:val="1"/>
      <w:numFmt w:val="lowerLetter"/>
      <w:lvlText w:val="%2)"/>
      <w:lvlJc w:val="left"/>
      <w:pPr>
        <w:tabs>
          <w:tab w:val="num" w:pos="360"/>
        </w:tabs>
        <w:ind w:left="360" w:firstLine="0"/>
      </w:pPr>
      <w:rPr>
        <w:rFonts w:hint="default"/>
      </w:rPr>
    </w:lvl>
    <w:lvl w:ilvl="2">
      <w:start w:val="1"/>
      <w:numFmt w:val="lowerRoman"/>
      <w:lvlText w:val="%3)"/>
      <w:lvlJc w:val="left"/>
      <w:pPr>
        <w:tabs>
          <w:tab w:val="num" w:pos="720"/>
        </w:tabs>
        <w:ind w:left="720" w:firstLine="0"/>
      </w:pPr>
      <w:rPr>
        <w:rFonts w:hint="default"/>
      </w:rPr>
    </w:lvl>
    <w:lvl w:ilvl="3">
      <w:start w:val="1"/>
      <w:numFmt w:val="decimal"/>
      <w:lvlText w:val="(%4)"/>
      <w:lvlJc w:val="left"/>
      <w:pPr>
        <w:tabs>
          <w:tab w:val="num" w:pos="1080"/>
        </w:tabs>
        <w:ind w:left="1080" w:firstLine="0"/>
      </w:pPr>
      <w:rPr>
        <w:rFonts w:hint="default"/>
      </w:rPr>
    </w:lvl>
    <w:lvl w:ilvl="4">
      <w:start w:val="1"/>
      <w:numFmt w:val="lowerLetter"/>
      <w:lvlText w:val="(%5)"/>
      <w:lvlJc w:val="left"/>
      <w:pPr>
        <w:tabs>
          <w:tab w:val="num" w:pos="1440"/>
        </w:tabs>
        <w:ind w:left="144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0D80C39"/>
    <w:multiLevelType w:val="hybridMultilevel"/>
    <w:tmpl w:val="7F3A3228"/>
    <w:lvl w:ilvl="0" w:tplc="FFC60594">
      <w:start w:val="1"/>
      <w:numFmt w:val="decimal"/>
      <w:lvlText w:val="%1)"/>
      <w:lvlJc w:val="left"/>
      <w:pPr>
        <w:ind w:left="117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EF4A9F"/>
    <w:multiLevelType w:val="multilevel"/>
    <w:tmpl w:val="008C5D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5F958AC"/>
    <w:multiLevelType w:val="multilevel"/>
    <w:tmpl w:val="DDDA7E38"/>
    <w:lvl w:ilvl="0">
      <w:start w:val="1"/>
      <w:numFmt w:val="decimal"/>
      <w:lvlText w:val="%1)"/>
      <w:lvlJc w:val="left"/>
      <w:pPr>
        <w:ind w:left="432" w:hanging="432"/>
      </w:pPr>
      <w:rPr>
        <w:rFonts w:ascii="Times New Roman" w:hAnsi="Times New Roman" w:hint="default"/>
        <w:b/>
        <w:i w:val="0"/>
        <w:color w:val="auto"/>
        <w:sz w:val="28"/>
      </w:rPr>
    </w:lvl>
    <w:lvl w:ilvl="1">
      <w:start w:val="1"/>
      <w:numFmt w:val="lowerLetter"/>
      <w:lvlText w:val="%2)"/>
      <w:lvlJc w:val="left"/>
      <w:pPr>
        <w:ind w:left="792" w:hanging="432"/>
      </w:pPr>
      <w:rPr>
        <w:rFonts w:ascii="Times New Roman" w:hAnsi="Times New Roman" w:hint="default"/>
        <w:b/>
        <w:i w:val="0"/>
        <w:color w:val="auto"/>
        <w:sz w:val="28"/>
      </w:rPr>
    </w:lvl>
    <w:lvl w:ilvl="2">
      <w:start w:val="1"/>
      <w:numFmt w:val="lowerRoman"/>
      <w:lvlText w:val="%3)"/>
      <w:lvlJc w:val="left"/>
      <w:pPr>
        <w:ind w:left="1152" w:hanging="432"/>
      </w:pPr>
      <w:rPr>
        <w:rFonts w:ascii="Times New Roman" w:hAnsi="Times New Roman" w:hint="default"/>
        <w:b/>
        <w:i w:val="0"/>
        <w:color w:val="auto"/>
        <w:sz w:val="28"/>
      </w:rPr>
    </w:lvl>
    <w:lvl w:ilvl="3">
      <w:start w:val="1"/>
      <w:numFmt w:val="decimal"/>
      <w:lvlText w:val="(%4)"/>
      <w:lvlJc w:val="left"/>
      <w:pPr>
        <w:ind w:left="1512" w:hanging="432"/>
      </w:pPr>
      <w:rPr>
        <w:rFonts w:ascii="Times New Roman" w:hAnsi="Times New Roman" w:hint="default"/>
        <w:b/>
        <w:i w:val="0"/>
        <w:color w:val="auto"/>
        <w:sz w:val="28"/>
      </w:rPr>
    </w:lvl>
    <w:lvl w:ilvl="4">
      <w:start w:val="1"/>
      <w:numFmt w:val="lowerLetter"/>
      <w:lvlText w:val="(%5)"/>
      <w:lvlJc w:val="left"/>
      <w:pPr>
        <w:ind w:left="1872" w:hanging="432"/>
      </w:pPr>
      <w:rPr>
        <w:rFonts w:hint="default"/>
      </w:rPr>
    </w:lvl>
    <w:lvl w:ilvl="5">
      <w:start w:val="1"/>
      <w:numFmt w:val="lowerRoman"/>
      <w:lvlText w:val="(%6)"/>
      <w:lvlJc w:val="left"/>
      <w:pPr>
        <w:ind w:left="2232" w:hanging="432"/>
      </w:pPr>
      <w:rPr>
        <w:rFonts w:hint="default"/>
      </w:rPr>
    </w:lvl>
    <w:lvl w:ilvl="6">
      <w:start w:val="1"/>
      <w:numFmt w:val="decimal"/>
      <w:lvlText w:val="%7."/>
      <w:lvlJc w:val="left"/>
      <w:pPr>
        <w:ind w:left="2592" w:hanging="432"/>
      </w:pPr>
      <w:rPr>
        <w:rFonts w:hint="default"/>
      </w:rPr>
    </w:lvl>
    <w:lvl w:ilvl="7">
      <w:start w:val="1"/>
      <w:numFmt w:val="lowerLetter"/>
      <w:lvlText w:val="%8."/>
      <w:lvlJc w:val="left"/>
      <w:pPr>
        <w:ind w:left="2952" w:hanging="432"/>
      </w:pPr>
      <w:rPr>
        <w:rFonts w:hint="default"/>
      </w:rPr>
    </w:lvl>
    <w:lvl w:ilvl="8">
      <w:start w:val="1"/>
      <w:numFmt w:val="lowerRoman"/>
      <w:lvlText w:val="%9."/>
      <w:lvlJc w:val="left"/>
      <w:pPr>
        <w:ind w:left="3312" w:hanging="432"/>
      </w:pPr>
      <w:rPr>
        <w:rFonts w:hint="default"/>
      </w:rPr>
    </w:lvl>
  </w:abstractNum>
  <w:abstractNum w:abstractNumId="4" w15:restartNumberingAfterBreak="0">
    <w:nsid w:val="061F7D34"/>
    <w:multiLevelType w:val="hybridMultilevel"/>
    <w:tmpl w:val="1312F42E"/>
    <w:lvl w:ilvl="0" w:tplc="A6C2F3B6">
      <w:start w:val="1"/>
      <w:numFmt w:val="decimal"/>
      <w:lvlText w:val="%1)"/>
      <w:lvlJc w:val="left"/>
      <w:pPr>
        <w:ind w:left="1080" w:hanging="360"/>
      </w:pPr>
      <w:rPr>
        <w:rFonts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63545F3"/>
    <w:multiLevelType w:val="hybridMultilevel"/>
    <w:tmpl w:val="983239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5E23C1"/>
    <w:multiLevelType w:val="hybridMultilevel"/>
    <w:tmpl w:val="D60C13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6E7F74"/>
    <w:multiLevelType w:val="multilevel"/>
    <w:tmpl w:val="F0A80EEE"/>
    <w:styleLink w:val="BigPaper"/>
    <w:lvl w:ilvl="0">
      <w:start w:val="1"/>
      <w:numFmt w:val="decimal"/>
      <w:lvlText w:val="%1.0"/>
      <w:lvlJc w:val="left"/>
      <w:pPr>
        <w:ind w:left="360" w:hanging="360"/>
      </w:pPr>
      <w:rPr>
        <w:rFonts w:ascii="Times New Roman" w:hAnsi="Times New Roman" w:hint="default"/>
        <w:b/>
        <w:bCs/>
        <w:i w:val="0"/>
        <w:iCs w:val="0"/>
        <w:caps/>
        <w:smallCaps w:val="0"/>
        <w:strike w:val="0"/>
        <w:dstrike w:val="0"/>
        <w:outline w:val="0"/>
        <w:shadow w:val="0"/>
        <w:emboss w:val="0"/>
        <w:imprint w:val="0"/>
        <w:vanish w:val="0"/>
        <w:color w:val="auto"/>
        <w:spacing w:val="0"/>
        <w:kern w:val="0"/>
        <w:position w:val="0"/>
        <w:sz w:val="28"/>
        <w:effect w:val="none"/>
        <w:vertAlign w:val="baseline"/>
        <w:em w:val="none"/>
        <w14:ligatures w14:val="none"/>
        <w14:numForm w14:val="default"/>
        <w14:numSpacing w14:val="default"/>
        <w14:stylisticSets/>
        <w14:cntxtAlts w14:val="0"/>
      </w:rPr>
    </w:lvl>
    <w:lvl w:ilvl="1">
      <w:start w:val="1"/>
      <w:numFmt w:val="decimal"/>
      <w:isLgl/>
      <w:suff w:val="space"/>
      <w:lvlText w:val="%2.1"/>
      <w:lvlJc w:val="left"/>
      <w:pPr>
        <w:ind w:left="1080" w:firstLine="0"/>
      </w:pPr>
      <w:rPr>
        <w:rFonts w:ascii="Times New Roman" w:hAnsi="Times New Roman" w:hint="default"/>
        <w:b/>
        <w:i w:val="0"/>
        <w:caps/>
        <w:strike w:val="0"/>
        <w:dstrike w:val="0"/>
        <w:vanish w:val="0"/>
        <w:color w:val="auto"/>
        <w:sz w:val="24"/>
        <w:vertAlign w:val="baseline"/>
      </w:rPr>
    </w:lvl>
    <w:lvl w:ilvl="2">
      <w:start w:val="1"/>
      <w:numFmt w:val="decimal"/>
      <w:isLgl/>
      <w:suff w:val="space"/>
      <w:lvlText w:val="%3.1.1"/>
      <w:lvlJc w:val="left"/>
      <w:pPr>
        <w:ind w:left="0" w:firstLine="0"/>
      </w:pPr>
      <w:rPr>
        <w:rFonts w:ascii="Times New Roman" w:hAnsi="Times New Roman" w:hint="default"/>
        <w:b/>
        <w:i w:val="0"/>
        <w:caps/>
        <w:strike w:val="0"/>
        <w:dstrike w:val="0"/>
        <w:vanish w:val="0"/>
        <w:color w:val="auto"/>
        <w:sz w:val="24"/>
        <w:vertAlign w:val="baseline"/>
      </w:rPr>
    </w:lvl>
    <w:lvl w:ilvl="3">
      <w:start w:val="1"/>
      <w:numFmt w:val="decimal"/>
      <w:lvlText w:val="(%4)"/>
      <w:lvlJc w:val="left"/>
      <w:pPr>
        <w:tabs>
          <w:tab w:val="num" w:pos="576"/>
        </w:tabs>
        <w:ind w:left="0" w:firstLine="0"/>
      </w:pPr>
      <w:rPr>
        <w:rFonts w:hint="default"/>
      </w:rPr>
    </w:lvl>
    <w:lvl w:ilvl="4">
      <w:start w:val="1"/>
      <w:numFmt w:val="lowerLetter"/>
      <w:lvlText w:val="(%5)"/>
      <w:lvlJc w:val="left"/>
      <w:pPr>
        <w:tabs>
          <w:tab w:val="num" w:pos="576"/>
        </w:tabs>
        <w:ind w:left="0" w:firstLine="0"/>
      </w:pPr>
      <w:rPr>
        <w:rFonts w:hint="default"/>
      </w:rPr>
    </w:lvl>
    <w:lvl w:ilvl="5">
      <w:start w:val="1"/>
      <w:numFmt w:val="lowerRoman"/>
      <w:lvlText w:val="(%6)"/>
      <w:lvlJc w:val="left"/>
      <w:pPr>
        <w:tabs>
          <w:tab w:val="num" w:pos="576"/>
        </w:tabs>
        <w:ind w:left="0" w:firstLine="0"/>
      </w:pPr>
      <w:rPr>
        <w:rFonts w:hint="default"/>
      </w:rPr>
    </w:lvl>
    <w:lvl w:ilvl="6">
      <w:start w:val="1"/>
      <w:numFmt w:val="decimal"/>
      <w:lvlText w:val="%7."/>
      <w:lvlJc w:val="left"/>
      <w:pPr>
        <w:tabs>
          <w:tab w:val="num" w:pos="576"/>
        </w:tabs>
        <w:ind w:left="0" w:firstLine="0"/>
      </w:pPr>
      <w:rPr>
        <w:rFonts w:hint="default"/>
      </w:rPr>
    </w:lvl>
    <w:lvl w:ilvl="7">
      <w:start w:val="1"/>
      <w:numFmt w:val="lowerLetter"/>
      <w:lvlText w:val="%8."/>
      <w:lvlJc w:val="left"/>
      <w:pPr>
        <w:tabs>
          <w:tab w:val="num" w:pos="576"/>
        </w:tabs>
        <w:ind w:left="0" w:firstLine="0"/>
      </w:pPr>
      <w:rPr>
        <w:rFonts w:hint="default"/>
      </w:rPr>
    </w:lvl>
    <w:lvl w:ilvl="8">
      <w:start w:val="1"/>
      <w:numFmt w:val="lowerRoman"/>
      <w:lvlText w:val="%9."/>
      <w:lvlJc w:val="left"/>
      <w:pPr>
        <w:tabs>
          <w:tab w:val="num" w:pos="576"/>
        </w:tabs>
        <w:ind w:left="0" w:firstLine="0"/>
      </w:pPr>
      <w:rPr>
        <w:rFonts w:hint="default"/>
      </w:rPr>
    </w:lvl>
  </w:abstractNum>
  <w:abstractNum w:abstractNumId="8" w15:restartNumberingAfterBreak="0">
    <w:nsid w:val="0A3B32B0"/>
    <w:multiLevelType w:val="multilevel"/>
    <w:tmpl w:val="DDDA7E38"/>
    <w:lvl w:ilvl="0">
      <w:start w:val="1"/>
      <w:numFmt w:val="decimal"/>
      <w:lvlText w:val="%1)"/>
      <w:lvlJc w:val="left"/>
      <w:pPr>
        <w:ind w:left="432" w:hanging="432"/>
      </w:pPr>
      <w:rPr>
        <w:rFonts w:ascii="Times New Roman" w:hAnsi="Times New Roman" w:hint="default"/>
        <w:b/>
        <w:i w:val="0"/>
        <w:color w:val="auto"/>
        <w:sz w:val="28"/>
      </w:rPr>
    </w:lvl>
    <w:lvl w:ilvl="1">
      <w:start w:val="1"/>
      <w:numFmt w:val="lowerLetter"/>
      <w:lvlText w:val="%2)"/>
      <w:lvlJc w:val="left"/>
      <w:pPr>
        <w:ind w:left="792" w:hanging="432"/>
      </w:pPr>
      <w:rPr>
        <w:rFonts w:ascii="Times New Roman" w:hAnsi="Times New Roman" w:hint="default"/>
        <w:b/>
        <w:i w:val="0"/>
        <w:color w:val="auto"/>
        <w:sz w:val="28"/>
      </w:rPr>
    </w:lvl>
    <w:lvl w:ilvl="2">
      <w:start w:val="1"/>
      <w:numFmt w:val="lowerRoman"/>
      <w:lvlText w:val="%3)"/>
      <w:lvlJc w:val="left"/>
      <w:pPr>
        <w:ind w:left="1152" w:hanging="432"/>
      </w:pPr>
      <w:rPr>
        <w:rFonts w:ascii="Times New Roman" w:hAnsi="Times New Roman" w:hint="default"/>
        <w:b/>
        <w:i w:val="0"/>
        <w:color w:val="auto"/>
        <w:sz w:val="28"/>
      </w:rPr>
    </w:lvl>
    <w:lvl w:ilvl="3">
      <w:start w:val="1"/>
      <w:numFmt w:val="decimal"/>
      <w:lvlText w:val="(%4)"/>
      <w:lvlJc w:val="left"/>
      <w:pPr>
        <w:ind w:left="1512" w:hanging="432"/>
      </w:pPr>
      <w:rPr>
        <w:rFonts w:ascii="Times New Roman" w:hAnsi="Times New Roman" w:hint="default"/>
        <w:b/>
        <w:i w:val="0"/>
        <w:color w:val="auto"/>
        <w:sz w:val="28"/>
      </w:rPr>
    </w:lvl>
    <w:lvl w:ilvl="4">
      <w:start w:val="1"/>
      <w:numFmt w:val="lowerLetter"/>
      <w:lvlText w:val="(%5)"/>
      <w:lvlJc w:val="left"/>
      <w:pPr>
        <w:ind w:left="1872" w:hanging="432"/>
      </w:pPr>
      <w:rPr>
        <w:rFonts w:hint="default"/>
      </w:rPr>
    </w:lvl>
    <w:lvl w:ilvl="5">
      <w:start w:val="1"/>
      <w:numFmt w:val="lowerRoman"/>
      <w:lvlText w:val="(%6)"/>
      <w:lvlJc w:val="left"/>
      <w:pPr>
        <w:ind w:left="2232" w:hanging="432"/>
      </w:pPr>
      <w:rPr>
        <w:rFonts w:hint="default"/>
      </w:rPr>
    </w:lvl>
    <w:lvl w:ilvl="6">
      <w:start w:val="1"/>
      <w:numFmt w:val="decimal"/>
      <w:lvlText w:val="%7."/>
      <w:lvlJc w:val="left"/>
      <w:pPr>
        <w:ind w:left="2592" w:hanging="432"/>
      </w:pPr>
      <w:rPr>
        <w:rFonts w:hint="default"/>
      </w:rPr>
    </w:lvl>
    <w:lvl w:ilvl="7">
      <w:start w:val="1"/>
      <w:numFmt w:val="lowerLetter"/>
      <w:lvlText w:val="%8."/>
      <w:lvlJc w:val="left"/>
      <w:pPr>
        <w:ind w:left="2952" w:hanging="432"/>
      </w:pPr>
      <w:rPr>
        <w:rFonts w:hint="default"/>
      </w:rPr>
    </w:lvl>
    <w:lvl w:ilvl="8">
      <w:start w:val="1"/>
      <w:numFmt w:val="lowerRoman"/>
      <w:lvlText w:val="%9."/>
      <w:lvlJc w:val="left"/>
      <w:pPr>
        <w:ind w:left="3312" w:hanging="432"/>
      </w:pPr>
      <w:rPr>
        <w:rFonts w:hint="default"/>
      </w:rPr>
    </w:lvl>
  </w:abstractNum>
  <w:abstractNum w:abstractNumId="9" w15:restartNumberingAfterBreak="0">
    <w:nsid w:val="0DA065D5"/>
    <w:multiLevelType w:val="hybridMultilevel"/>
    <w:tmpl w:val="80C481A6"/>
    <w:lvl w:ilvl="0" w:tplc="41BC305C">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473C60"/>
    <w:multiLevelType w:val="multilevel"/>
    <w:tmpl w:val="DDDA7E38"/>
    <w:lvl w:ilvl="0">
      <w:start w:val="1"/>
      <w:numFmt w:val="decimal"/>
      <w:lvlText w:val="%1)"/>
      <w:lvlJc w:val="left"/>
      <w:pPr>
        <w:ind w:left="432" w:hanging="432"/>
      </w:pPr>
      <w:rPr>
        <w:rFonts w:ascii="Times New Roman" w:hAnsi="Times New Roman" w:hint="default"/>
        <w:b/>
        <w:i w:val="0"/>
        <w:color w:val="auto"/>
        <w:sz w:val="28"/>
      </w:rPr>
    </w:lvl>
    <w:lvl w:ilvl="1">
      <w:start w:val="1"/>
      <w:numFmt w:val="lowerLetter"/>
      <w:lvlText w:val="%2)"/>
      <w:lvlJc w:val="left"/>
      <w:pPr>
        <w:ind w:left="792" w:hanging="432"/>
      </w:pPr>
      <w:rPr>
        <w:rFonts w:ascii="Times New Roman" w:hAnsi="Times New Roman" w:hint="default"/>
        <w:b/>
        <w:i w:val="0"/>
        <w:color w:val="auto"/>
        <w:sz w:val="28"/>
      </w:rPr>
    </w:lvl>
    <w:lvl w:ilvl="2">
      <w:start w:val="1"/>
      <w:numFmt w:val="lowerRoman"/>
      <w:lvlText w:val="%3)"/>
      <w:lvlJc w:val="left"/>
      <w:pPr>
        <w:ind w:left="1152" w:hanging="432"/>
      </w:pPr>
      <w:rPr>
        <w:rFonts w:ascii="Times New Roman" w:hAnsi="Times New Roman" w:hint="default"/>
        <w:b/>
        <w:i w:val="0"/>
        <w:color w:val="auto"/>
        <w:sz w:val="28"/>
      </w:rPr>
    </w:lvl>
    <w:lvl w:ilvl="3">
      <w:start w:val="1"/>
      <w:numFmt w:val="decimal"/>
      <w:lvlText w:val="(%4)"/>
      <w:lvlJc w:val="left"/>
      <w:pPr>
        <w:ind w:left="1512" w:hanging="432"/>
      </w:pPr>
      <w:rPr>
        <w:rFonts w:ascii="Times New Roman" w:hAnsi="Times New Roman" w:hint="default"/>
        <w:b/>
        <w:i w:val="0"/>
        <w:color w:val="auto"/>
        <w:sz w:val="28"/>
      </w:rPr>
    </w:lvl>
    <w:lvl w:ilvl="4">
      <w:start w:val="1"/>
      <w:numFmt w:val="lowerLetter"/>
      <w:lvlText w:val="(%5)"/>
      <w:lvlJc w:val="left"/>
      <w:pPr>
        <w:ind w:left="1872" w:hanging="432"/>
      </w:pPr>
      <w:rPr>
        <w:rFonts w:hint="default"/>
      </w:rPr>
    </w:lvl>
    <w:lvl w:ilvl="5">
      <w:start w:val="1"/>
      <w:numFmt w:val="lowerRoman"/>
      <w:lvlText w:val="(%6)"/>
      <w:lvlJc w:val="left"/>
      <w:pPr>
        <w:ind w:left="2232" w:hanging="432"/>
      </w:pPr>
      <w:rPr>
        <w:rFonts w:hint="default"/>
      </w:rPr>
    </w:lvl>
    <w:lvl w:ilvl="6">
      <w:start w:val="1"/>
      <w:numFmt w:val="decimal"/>
      <w:lvlText w:val="%7."/>
      <w:lvlJc w:val="left"/>
      <w:pPr>
        <w:ind w:left="2592" w:hanging="432"/>
      </w:pPr>
      <w:rPr>
        <w:rFonts w:hint="default"/>
      </w:rPr>
    </w:lvl>
    <w:lvl w:ilvl="7">
      <w:start w:val="1"/>
      <w:numFmt w:val="lowerLetter"/>
      <w:lvlText w:val="%8."/>
      <w:lvlJc w:val="left"/>
      <w:pPr>
        <w:ind w:left="2952" w:hanging="432"/>
      </w:pPr>
      <w:rPr>
        <w:rFonts w:hint="default"/>
      </w:rPr>
    </w:lvl>
    <w:lvl w:ilvl="8">
      <w:start w:val="1"/>
      <w:numFmt w:val="lowerRoman"/>
      <w:lvlText w:val="%9."/>
      <w:lvlJc w:val="left"/>
      <w:pPr>
        <w:ind w:left="3312" w:hanging="432"/>
      </w:pPr>
      <w:rPr>
        <w:rFonts w:hint="default"/>
      </w:rPr>
    </w:lvl>
  </w:abstractNum>
  <w:abstractNum w:abstractNumId="11" w15:restartNumberingAfterBreak="0">
    <w:nsid w:val="11203088"/>
    <w:multiLevelType w:val="hybridMultilevel"/>
    <w:tmpl w:val="971EDA14"/>
    <w:lvl w:ilvl="0" w:tplc="E710DF8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7DE58C5"/>
    <w:multiLevelType w:val="hybridMultilevel"/>
    <w:tmpl w:val="AC6C20AA"/>
    <w:lvl w:ilvl="0" w:tplc="652CAC5E">
      <w:start w:val="1"/>
      <w:numFmt w:val="upperLetter"/>
      <w:lvlText w:val="%1."/>
      <w:lvlJc w:val="left"/>
      <w:pPr>
        <w:ind w:left="1080" w:hanging="360"/>
      </w:pPr>
      <w:rPr>
        <w:rFonts w:ascii="Times New Roman" w:hAnsi="Times New Roman" w:cs="Times New Roman" w:hint="default"/>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24D2CE9"/>
    <w:multiLevelType w:val="multilevel"/>
    <w:tmpl w:val="DDDA7E38"/>
    <w:lvl w:ilvl="0">
      <w:start w:val="1"/>
      <w:numFmt w:val="decimal"/>
      <w:lvlText w:val="%1)"/>
      <w:lvlJc w:val="left"/>
      <w:pPr>
        <w:ind w:left="432" w:hanging="432"/>
      </w:pPr>
      <w:rPr>
        <w:rFonts w:ascii="Times New Roman" w:hAnsi="Times New Roman" w:hint="default"/>
        <w:b/>
        <w:i w:val="0"/>
        <w:color w:val="auto"/>
        <w:sz w:val="28"/>
      </w:rPr>
    </w:lvl>
    <w:lvl w:ilvl="1">
      <w:start w:val="1"/>
      <w:numFmt w:val="lowerLetter"/>
      <w:lvlText w:val="%2)"/>
      <w:lvlJc w:val="left"/>
      <w:pPr>
        <w:ind w:left="792" w:hanging="432"/>
      </w:pPr>
      <w:rPr>
        <w:rFonts w:ascii="Times New Roman" w:hAnsi="Times New Roman" w:hint="default"/>
        <w:b/>
        <w:i w:val="0"/>
        <w:color w:val="auto"/>
        <w:sz w:val="28"/>
      </w:rPr>
    </w:lvl>
    <w:lvl w:ilvl="2">
      <w:start w:val="1"/>
      <w:numFmt w:val="lowerRoman"/>
      <w:lvlText w:val="%3)"/>
      <w:lvlJc w:val="left"/>
      <w:pPr>
        <w:ind w:left="1152" w:hanging="432"/>
      </w:pPr>
      <w:rPr>
        <w:rFonts w:ascii="Times New Roman" w:hAnsi="Times New Roman" w:hint="default"/>
        <w:b/>
        <w:i w:val="0"/>
        <w:color w:val="auto"/>
        <w:sz w:val="28"/>
      </w:rPr>
    </w:lvl>
    <w:lvl w:ilvl="3">
      <w:start w:val="1"/>
      <w:numFmt w:val="decimal"/>
      <w:lvlText w:val="(%4)"/>
      <w:lvlJc w:val="left"/>
      <w:pPr>
        <w:ind w:left="1512" w:hanging="432"/>
      </w:pPr>
      <w:rPr>
        <w:rFonts w:ascii="Times New Roman" w:hAnsi="Times New Roman" w:hint="default"/>
        <w:b/>
        <w:i w:val="0"/>
        <w:color w:val="auto"/>
        <w:sz w:val="28"/>
      </w:rPr>
    </w:lvl>
    <w:lvl w:ilvl="4">
      <w:start w:val="1"/>
      <w:numFmt w:val="lowerLetter"/>
      <w:lvlText w:val="(%5)"/>
      <w:lvlJc w:val="left"/>
      <w:pPr>
        <w:ind w:left="1872" w:hanging="432"/>
      </w:pPr>
      <w:rPr>
        <w:rFonts w:hint="default"/>
      </w:rPr>
    </w:lvl>
    <w:lvl w:ilvl="5">
      <w:start w:val="1"/>
      <w:numFmt w:val="lowerRoman"/>
      <w:lvlText w:val="(%6)"/>
      <w:lvlJc w:val="left"/>
      <w:pPr>
        <w:ind w:left="2232" w:hanging="432"/>
      </w:pPr>
      <w:rPr>
        <w:rFonts w:hint="default"/>
      </w:rPr>
    </w:lvl>
    <w:lvl w:ilvl="6">
      <w:start w:val="1"/>
      <w:numFmt w:val="decimal"/>
      <w:lvlText w:val="%7."/>
      <w:lvlJc w:val="left"/>
      <w:pPr>
        <w:ind w:left="2592" w:hanging="432"/>
      </w:pPr>
      <w:rPr>
        <w:rFonts w:hint="default"/>
      </w:rPr>
    </w:lvl>
    <w:lvl w:ilvl="7">
      <w:start w:val="1"/>
      <w:numFmt w:val="lowerLetter"/>
      <w:lvlText w:val="%8."/>
      <w:lvlJc w:val="left"/>
      <w:pPr>
        <w:ind w:left="2952" w:hanging="432"/>
      </w:pPr>
      <w:rPr>
        <w:rFonts w:hint="default"/>
      </w:rPr>
    </w:lvl>
    <w:lvl w:ilvl="8">
      <w:start w:val="1"/>
      <w:numFmt w:val="lowerRoman"/>
      <w:lvlText w:val="%9."/>
      <w:lvlJc w:val="left"/>
      <w:pPr>
        <w:ind w:left="3312" w:hanging="432"/>
      </w:pPr>
      <w:rPr>
        <w:rFonts w:hint="default"/>
      </w:rPr>
    </w:lvl>
  </w:abstractNum>
  <w:abstractNum w:abstractNumId="14" w15:restartNumberingAfterBreak="0">
    <w:nsid w:val="23BD3FAA"/>
    <w:multiLevelType w:val="multilevel"/>
    <w:tmpl w:val="FA5067AE"/>
    <w:styleLink w:val="Style2"/>
    <w:lvl w:ilvl="0">
      <w:start w:val="1"/>
      <w:numFmt w:val="decimal"/>
      <w:isLgl/>
      <w:suff w:val="space"/>
      <w:lvlText w:val="%1"/>
      <w:lvlJc w:val="left"/>
      <w:pPr>
        <w:ind w:left="360" w:hanging="360"/>
      </w:pPr>
      <w:rPr>
        <w:rFonts w:asciiTheme="majorHAnsi" w:hAnsiTheme="majorHAnsi" w:hint="default"/>
        <w:b/>
        <w:i w:val="0"/>
        <w:color w:val="auto"/>
        <w:sz w:val="28"/>
      </w:rPr>
    </w:lvl>
    <w:lvl w:ilvl="1">
      <w:start w:val="1"/>
      <w:numFmt w:val="decimal"/>
      <w:isLgl/>
      <w:suff w:val="space"/>
      <w:lvlText w:val="%1.%2"/>
      <w:lvlJc w:val="left"/>
      <w:pPr>
        <w:ind w:left="720" w:hanging="360"/>
      </w:pPr>
      <w:rPr>
        <w:rFonts w:hint="default"/>
        <w:b/>
        <w:i w:val="0"/>
        <w:color w:val="auto"/>
        <w:sz w:val="24"/>
      </w:rPr>
    </w:lvl>
    <w:lvl w:ilvl="2">
      <w:start w:val="1"/>
      <w:numFmt w:val="decimal"/>
      <w:isLgl/>
      <w:suff w:val="space"/>
      <w:lvlText w:val="%1.%2.%3"/>
      <w:lvlJc w:val="left"/>
      <w:pPr>
        <w:ind w:left="1080" w:hanging="360"/>
      </w:pPr>
      <w:rPr>
        <w:rFonts w:hint="default"/>
        <w:b/>
        <w:i w:val="0"/>
        <w:color w:val="auto"/>
        <w:sz w:val="24"/>
      </w:rPr>
    </w:lvl>
    <w:lvl w:ilvl="3">
      <w:start w:val="1"/>
      <w:numFmt w:val="decimal"/>
      <w:lvlText w:val="%1.%2.%3.%4."/>
      <w:lvlJc w:val="left"/>
      <w:pPr>
        <w:tabs>
          <w:tab w:val="num" w:pos="1440"/>
        </w:tabs>
        <w:ind w:left="1440" w:hanging="360"/>
      </w:pPr>
      <w:rPr>
        <w:rFonts w:hint="default"/>
      </w:rPr>
    </w:lvl>
    <w:lvl w:ilvl="4">
      <w:start w:val="1"/>
      <w:numFmt w:val="decimal"/>
      <w:lvlText w:val="%1.%2.%3.%4.%5."/>
      <w:lvlJc w:val="left"/>
      <w:pPr>
        <w:tabs>
          <w:tab w:val="num" w:pos="1800"/>
        </w:tabs>
        <w:ind w:left="1800" w:hanging="360"/>
      </w:pPr>
      <w:rPr>
        <w:rFonts w:hint="default"/>
      </w:rPr>
    </w:lvl>
    <w:lvl w:ilvl="5">
      <w:start w:val="1"/>
      <w:numFmt w:val="decimal"/>
      <w:lvlText w:val="%1.%2.%3.%4.%5.%6."/>
      <w:lvlJc w:val="left"/>
      <w:pPr>
        <w:tabs>
          <w:tab w:val="num" w:pos="2160"/>
        </w:tabs>
        <w:ind w:left="2160" w:hanging="360"/>
      </w:pPr>
      <w:rPr>
        <w:rFonts w:hint="default"/>
      </w:rPr>
    </w:lvl>
    <w:lvl w:ilvl="6">
      <w:start w:val="1"/>
      <w:numFmt w:val="decimal"/>
      <w:lvlText w:val="%1.%2.%3.%4.%5.%6.%7."/>
      <w:lvlJc w:val="left"/>
      <w:pPr>
        <w:tabs>
          <w:tab w:val="num" w:pos="2520"/>
        </w:tabs>
        <w:ind w:left="2520" w:hanging="360"/>
      </w:pPr>
      <w:rPr>
        <w:rFonts w:hint="default"/>
      </w:rPr>
    </w:lvl>
    <w:lvl w:ilvl="7">
      <w:start w:val="1"/>
      <w:numFmt w:val="decimal"/>
      <w:lvlText w:val="%1.%2.%3.%4.%5.%6.%7.%8."/>
      <w:lvlJc w:val="left"/>
      <w:pPr>
        <w:tabs>
          <w:tab w:val="num" w:pos="2880"/>
        </w:tabs>
        <w:ind w:left="2880" w:hanging="360"/>
      </w:pPr>
      <w:rPr>
        <w:rFonts w:hint="default"/>
      </w:rPr>
    </w:lvl>
    <w:lvl w:ilvl="8">
      <w:start w:val="1"/>
      <w:numFmt w:val="decimal"/>
      <w:lvlText w:val="%1.%2.%3.%4.%5.%6.%7.%8.%9."/>
      <w:lvlJc w:val="left"/>
      <w:pPr>
        <w:tabs>
          <w:tab w:val="num" w:pos="3240"/>
        </w:tabs>
        <w:ind w:left="3240" w:hanging="360"/>
      </w:pPr>
      <w:rPr>
        <w:rFonts w:hint="default"/>
      </w:rPr>
    </w:lvl>
  </w:abstractNum>
  <w:abstractNum w:abstractNumId="15" w15:restartNumberingAfterBreak="0">
    <w:nsid w:val="2D2B78C4"/>
    <w:multiLevelType w:val="multilevel"/>
    <w:tmpl w:val="DDDA7E38"/>
    <w:lvl w:ilvl="0">
      <w:start w:val="1"/>
      <w:numFmt w:val="decimal"/>
      <w:lvlText w:val="%1)"/>
      <w:lvlJc w:val="left"/>
      <w:pPr>
        <w:ind w:left="432" w:hanging="432"/>
      </w:pPr>
      <w:rPr>
        <w:rFonts w:ascii="Times New Roman" w:hAnsi="Times New Roman" w:hint="default"/>
        <w:b/>
        <w:i w:val="0"/>
        <w:color w:val="auto"/>
        <w:sz w:val="28"/>
      </w:rPr>
    </w:lvl>
    <w:lvl w:ilvl="1">
      <w:start w:val="1"/>
      <w:numFmt w:val="lowerLetter"/>
      <w:lvlText w:val="%2)"/>
      <w:lvlJc w:val="left"/>
      <w:pPr>
        <w:ind w:left="792" w:hanging="432"/>
      </w:pPr>
      <w:rPr>
        <w:rFonts w:ascii="Times New Roman" w:hAnsi="Times New Roman" w:hint="default"/>
        <w:b/>
        <w:i w:val="0"/>
        <w:color w:val="auto"/>
        <w:sz w:val="28"/>
      </w:rPr>
    </w:lvl>
    <w:lvl w:ilvl="2">
      <w:start w:val="1"/>
      <w:numFmt w:val="lowerRoman"/>
      <w:lvlText w:val="%3)"/>
      <w:lvlJc w:val="left"/>
      <w:pPr>
        <w:ind w:left="1152" w:hanging="432"/>
      </w:pPr>
      <w:rPr>
        <w:rFonts w:ascii="Times New Roman" w:hAnsi="Times New Roman" w:hint="default"/>
        <w:b/>
        <w:i w:val="0"/>
        <w:color w:val="auto"/>
        <w:sz w:val="28"/>
      </w:rPr>
    </w:lvl>
    <w:lvl w:ilvl="3">
      <w:start w:val="1"/>
      <w:numFmt w:val="decimal"/>
      <w:lvlText w:val="(%4)"/>
      <w:lvlJc w:val="left"/>
      <w:pPr>
        <w:ind w:left="1512" w:hanging="432"/>
      </w:pPr>
      <w:rPr>
        <w:rFonts w:ascii="Times New Roman" w:hAnsi="Times New Roman" w:hint="default"/>
        <w:b/>
        <w:i w:val="0"/>
        <w:color w:val="auto"/>
        <w:sz w:val="28"/>
      </w:rPr>
    </w:lvl>
    <w:lvl w:ilvl="4">
      <w:start w:val="1"/>
      <w:numFmt w:val="lowerLetter"/>
      <w:lvlText w:val="(%5)"/>
      <w:lvlJc w:val="left"/>
      <w:pPr>
        <w:ind w:left="1872" w:hanging="432"/>
      </w:pPr>
      <w:rPr>
        <w:rFonts w:hint="default"/>
      </w:rPr>
    </w:lvl>
    <w:lvl w:ilvl="5">
      <w:start w:val="1"/>
      <w:numFmt w:val="lowerRoman"/>
      <w:lvlText w:val="(%6)"/>
      <w:lvlJc w:val="left"/>
      <w:pPr>
        <w:ind w:left="2232" w:hanging="432"/>
      </w:pPr>
      <w:rPr>
        <w:rFonts w:hint="default"/>
      </w:rPr>
    </w:lvl>
    <w:lvl w:ilvl="6">
      <w:start w:val="1"/>
      <w:numFmt w:val="decimal"/>
      <w:lvlText w:val="%7."/>
      <w:lvlJc w:val="left"/>
      <w:pPr>
        <w:ind w:left="2592" w:hanging="432"/>
      </w:pPr>
      <w:rPr>
        <w:rFonts w:hint="default"/>
      </w:rPr>
    </w:lvl>
    <w:lvl w:ilvl="7">
      <w:start w:val="1"/>
      <w:numFmt w:val="lowerLetter"/>
      <w:lvlText w:val="%8."/>
      <w:lvlJc w:val="left"/>
      <w:pPr>
        <w:ind w:left="2952" w:hanging="432"/>
      </w:pPr>
      <w:rPr>
        <w:rFonts w:hint="default"/>
      </w:rPr>
    </w:lvl>
    <w:lvl w:ilvl="8">
      <w:start w:val="1"/>
      <w:numFmt w:val="lowerRoman"/>
      <w:lvlText w:val="%9."/>
      <w:lvlJc w:val="left"/>
      <w:pPr>
        <w:ind w:left="3312" w:hanging="432"/>
      </w:pPr>
      <w:rPr>
        <w:rFonts w:hint="default"/>
      </w:rPr>
    </w:lvl>
  </w:abstractNum>
  <w:abstractNum w:abstractNumId="16" w15:restartNumberingAfterBreak="0">
    <w:nsid w:val="2DC64CB8"/>
    <w:multiLevelType w:val="multilevel"/>
    <w:tmpl w:val="DDDA7E38"/>
    <w:lvl w:ilvl="0">
      <w:start w:val="1"/>
      <w:numFmt w:val="decimal"/>
      <w:lvlText w:val="%1)"/>
      <w:lvlJc w:val="left"/>
      <w:pPr>
        <w:ind w:left="432" w:hanging="432"/>
      </w:pPr>
      <w:rPr>
        <w:rFonts w:ascii="Times New Roman" w:hAnsi="Times New Roman" w:hint="default"/>
        <w:b/>
        <w:i w:val="0"/>
        <w:color w:val="auto"/>
        <w:sz w:val="28"/>
      </w:rPr>
    </w:lvl>
    <w:lvl w:ilvl="1">
      <w:start w:val="1"/>
      <w:numFmt w:val="lowerLetter"/>
      <w:lvlText w:val="%2)"/>
      <w:lvlJc w:val="left"/>
      <w:pPr>
        <w:ind w:left="792" w:hanging="432"/>
      </w:pPr>
      <w:rPr>
        <w:rFonts w:ascii="Times New Roman" w:hAnsi="Times New Roman" w:hint="default"/>
        <w:b/>
        <w:i w:val="0"/>
        <w:color w:val="auto"/>
        <w:sz w:val="28"/>
      </w:rPr>
    </w:lvl>
    <w:lvl w:ilvl="2">
      <w:start w:val="1"/>
      <w:numFmt w:val="lowerRoman"/>
      <w:lvlText w:val="%3)"/>
      <w:lvlJc w:val="left"/>
      <w:pPr>
        <w:ind w:left="1152" w:hanging="432"/>
      </w:pPr>
      <w:rPr>
        <w:rFonts w:ascii="Times New Roman" w:hAnsi="Times New Roman" w:hint="default"/>
        <w:b/>
        <w:i w:val="0"/>
        <w:color w:val="auto"/>
        <w:sz w:val="28"/>
      </w:rPr>
    </w:lvl>
    <w:lvl w:ilvl="3">
      <w:start w:val="1"/>
      <w:numFmt w:val="decimal"/>
      <w:lvlText w:val="(%4)"/>
      <w:lvlJc w:val="left"/>
      <w:pPr>
        <w:ind w:left="1512" w:hanging="432"/>
      </w:pPr>
      <w:rPr>
        <w:rFonts w:ascii="Times New Roman" w:hAnsi="Times New Roman" w:hint="default"/>
        <w:b/>
        <w:i w:val="0"/>
        <w:color w:val="auto"/>
        <w:sz w:val="28"/>
      </w:rPr>
    </w:lvl>
    <w:lvl w:ilvl="4">
      <w:start w:val="1"/>
      <w:numFmt w:val="lowerLetter"/>
      <w:lvlText w:val="(%5)"/>
      <w:lvlJc w:val="left"/>
      <w:pPr>
        <w:ind w:left="1872" w:hanging="432"/>
      </w:pPr>
      <w:rPr>
        <w:rFonts w:hint="default"/>
      </w:rPr>
    </w:lvl>
    <w:lvl w:ilvl="5">
      <w:start w:val="1"/>
      <w:numFmt w:val="lowerRoman"/>
      <w:lvlText w:val="(%6)"/>
      <w:lvlJc w:val="left"/>
      <w:pPr>
        <w:ind w:left="2232" w:hanging="432"/>
      </w:pPr>
      <w:rPr>
        <w:rFonts w:hint="default"/>
      </w:rPr>
    </w:lvl>
    <w:lvl w:ilvl="6">
      <w:start w:val="1"/>
      <w:numFmt w:val="decimal"/>
      <w:lvlText w:val="%7."/>
      <w:lvlJc w:val="left"/>
      <w:pPr>
        <w:ind w:left="2592" w:hanging="432"/>
      </w:pPr>
      <w:rPr>
        <w:rFonts w:hint="default"/>
      </w:rPr>
    </w:lvl>
    <w:lvl w:ilvl="7">
      <w:start w:val="1"/>
      <w:numFmt w:val="lowerLetter"/>
      <w:lvlText w:val="%8."/>
      <w:lvlJc w:val="left"/>
      <w:pPr>
        <w:ind w:left="2952" w:hanging="432"/>
      </w:pPr>
      <w:rPr>
        <w:rFonts w:hint="default"/>
      </w:rPr>
    </w:lvl>
    <w:lvl w:ilvl="8">
      <w:start w:val="1"/>
      <w:numFmt w:val="lowerRoman"/>
      <w:lvlText w:val="%9."/>
      <w:lvlJc w:val="left"/>
      <w:pPr>
        <w:ind w:left="3312" w:hanging="432"/>
      </w:pPr>
      <w:rPr>
        <w:rFonts w:hint="default"/>
      </w:rPr>
    </w:lvl>
  </w:abstractNum>
  <w:abstractNum w:abstractNumId="17" w15:restartNumberingAfterBreak="0">
    <w:nsid w:val="33CF3A9C"/>
    <w:multiLevelType w:val="multilevel"/>
    <w:tmpl w:val="A8206314"/>
    <w:lvl w:ilvl="0">
      <w:start w:val="1"/>
      <w:numFmt w:val="decimal"/>
      <w:pStyle w:val="Heading1"/>
      <w:isLgl/>
      <w:lvlText w:val="%1"/>
      <w:lvlJc w:val="left"/>
      <w:pPr>
        <w:tabs>
          <w:tab w:val="num" w:pos="360"/>
        </w:tabs>
        <w:ind w:left="0" w:firstLine="0"/>
      </w:pPr>
      <w:rPr>
        <w:rFonts w:asciiTheme="majorHAnsi" w:hAnsiTheme="majorHAnsi" w:hint="default"/>
        <w:b/>
        <w:i w:val="0"/>
        <w:color w:val="auto"/>
        <w:sz w:val="28"/>
      </w:rPr>
    </w:lvl>
    <w:lvl w:ilvl="1">
      <w:start w:val="1"/>
      <w:numFmt w:val="decimal"/>
      <w:pStyle w:val="Heading2"/>
      <w:isLgl/>
      <w:lvlText w:val="%1.%2"/>
      <w:lvlJc w:val="left"/>
      <w:pPr>
        <w:tabs>
          <w:tab w:val="num" w:pos="360"/>
        </w:tabs>
        <w:ind w:left="0" w:firstLine="0"/>
      </w:pPr>
      <w:rPr>
        <w:rFonts w:hint="default"/>
        <w:b/>
        <w:i w:val="0"/>
        <w:color w:val="auto"/>
        <w:sz w:val="24"/>
      </w:rPr>
    </w:lvl>
    <w:lvl w:ilvl="2">
      <w:start w:val="1"/>
      <w:numFmt w:val="decimal"/>
      <w:lvlText w:val="%1.%2.%3"/>
      <w:lvlJc w:val="left"/>
      <w:pPr>
        <w:tabs>
          <w:tab w:val="num" w:pos="360"/>
        </w:tabs>
        <w:ind w:left="0" w:firstLine="0"/>
      </w:pPr>
      <w:rPr>
        <w:rFonts w:hint="default"/>
        <w:b/>
        <w:i w:val="0"/>
        <w:color w:val="auto"/>
        <w:sz w:val="24"/>
      </w:rPr>
    </w:lvl>
    <w:lvl w:ilvl="3">
      <w:start w:val="1"/>
      <w:numFmt w:val="decimal"/>
      <w:lvlText w:val="%1.%2.%3.%4."/>
      <w:lvlJc w:val="left"/>
      <w:pPr>
        <w:tabs>
          <w:tab w:val="num" w:pos="360"/>
        </w:tabs>
        <w:ind w:left="0" w:firstLine="0"/>
      </w:pPr>
      <w:rPr>
        <w:rFonts w:hint="default"/>
      </w:rPr>
    </w:lvl>
    <w:lvl w:ilvl="4">
      <w:start w:val="1"/>
      <w:numFmt w:val="decimal"/>
      <w:lvlText w:val="%1.%2.%3.%4.%5."/>
      <w:lvlJc w:val="left"/>
      <w:pPr>
        <w:tabs>
          <w:tab w:val="num" w:pos="360"/>
        </w:tabs>
        <w:ind w:left="0" w:firstLine="0"/>
      </w:pPr>
      <w:rPr>
        <w:rFonts w:hint="default"/>
      </w:rPr>
    </w:lvl>
    <w:lvl w:ilvl="5">
      <w:start w:val="1"/>
      <w:numFmt w:val="decimal"/>
      <w:lvlText w:val="%1.%2.%3.%4.%5.%6."/>
      <w:lvlJc w:val="left"/>
      <w:pPr>
        <w:tabs>
          <w:tab w:val="num" w:pos="360"/>
        </w:tabs>
        <w:ind w:left="0" w:firstLine="0"/>
      </w:pPr>
      <w:rPr>
        <w:rFonts w:hint="default"/>
      </w:rPr>
    </w:lvl>
    <w:lvl w:ilvl="6">
      <w:start w:val="1"/>
      <w:numFmt w:val="decimal"/>
      <w:lvlText w:val="%1.%2.%3.%4.%5.%6.%7."/>
      <w:lvlJc w:val="left"/>
      <w:pPr>
        <w:tabs>
          <w:tab w:val="num" w:pos="360"/>
        </w:tabs>
        <w:ind w:left="0" w:firstLine="0"/>
      </w:pPr>
      <w:rPr>
        <w:rFonts w:hint="default"/>
      </w:rPr>
    </w:lvl>
    <w:lvl w:ilvl="7">
      <w:start w:val="1"/>
      <w:numFmt w:val="decimal"/>
      <w:lvlText w:val="%1.%2.%3.%4.%5.%6.%7.%8."/>
      <w:lvlJc w:val="left"/>
      <w:pPr>
        <w:tabs>
          <w:tab w:val="num" w:pos="360"/>
        </w:tabs>
        <w:ind w:left="0" w:firstLine="0"/>
      </w:pPr>
      <w:rPr>
        <w:rFonts w:hint="default"/>
      </w:rPr>
    </w:lvl>
    <w:lvl w:ilvl="8">
      <w:start w:val="1"/>
      <w:numFmt w:val="decimal"/>
      <w:lvlText w:val="%1.%2.%3.%4.%5.%6.%7.%8.%9."/>
      <w:lvlJc w:val="left"/>
      <w:pPr>
        <w:tabs>
          <w:tab w:val="num" w:pos="360"/>
        </w:tabs>
        <w:ind w:left="0" w:firstLine="0"/>
      </w:pPr>
      <w:rPr>
        <w:rFonts w:hint="default"/>
      </w:rPr>
    </w:lvl>
  </w:abstractNum>
  <w:abstractNum w:abstractNumId="18" w15:restartNumberingAfterBreak="0">
    <w:nsid w:val="4F7D41B9"/>
    <w:multiLevelType w:val="hybridMultilevel"/>
    <w:tmpl w:val="11066D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613706"/>
    <w:multiLevelType w:val="multilevel"/>
    <w:tmpl w:val="DDDA7E38"/>
    <w:lvl w:ilvl="0">
      <w:start w:val="1"/>
      <w:numFmt w:val="decimal"/>
      <w:lvlText w:val="%1)"/>
      <w:lvlJc w:val="left"/>
      <w:pPr>
        <w:ind w:left="432" w:hanging="432"/>
      </w:pPr>
      <w:rPr>
        <w:rFonts w:ascii="Times New Roman" w:hAnsi="Times New Roman" w:hint="default"/>
        <w:b/>
        <w:i w:val="0"/>
        <w:color w:val="auto"/>
        <w:sz w:val="28"/>
      </w:rPr>
    </w:lvl>
    <w:lvl w:ilvl="1">
      <w:start w:val="1"/>
      <w:numFmt w:val="lowerLetter"/>
      <w:lvlText w:val="%2)"/>
      <w:lvlJc w:val="left"/>
      <w:pPr>
        <w:ind w:left="792" w:hanging="432"/>
      </w:pPr>
      <w:rPr>
        <w:rFonts w:ascii="Times New Roman" w:hAnsi="Times New Roman" w:hint="default"/>
        <w:b/>
        <w:i w:val="0"/>
        <w:color w:val="auto"/>
        <w:sz w:val="28"/>
      </w:rPr>
    </w:lvl>
    <w:lvl w:ilvl="2">
      <w:start w:val="1"/>
      <w:numFmt w:val="lowerRoman"/>
      <w:lvlText w:val="%3)"/>
      <w:lvlJc w:val="left"/>
      <w:pPr>
        <w:ind w:left="1152" w:hanging="432"/>
      </w:pPr>
      <w:rPr>
        <w:rFonts w:ascii="Times New Roman" w:hAnsi="Times New Roman" w:hint="default"/>
        <w:b/>
        <w:i w:val="0"/>
        <w:color w:val="auto"/>
        <w:sz w:val="28"/>
      </w:rPr>
    </w:lvl>
    <w:lvl w:ilvl="3">
      <w:start w:val="1"/>
      <w:numFmt w:val="decimal"/>
      <w:lvlText w:val="(%4)"/>
      <w:lvlJc w:val="left"/>
      <w:pPr>
        <w:ind w:left="1512" w:hanging="432"/>
      </w:pPr>
      <w:rPr>
        <w:rFonts w:ascii="Times New Roman" w:hAnsi="Times New Roman" w:hint="default"/>
        <w:b/>
        <w:i w:val="0"/>
        <w:color w:val="auto"/>
        <w:sz w:val="28"/>
      </w:rPr>
    </w:lvl>
    <w:lvl w:ilvl="4">
      <w:start w:val="1"/>
      <w:numFmt w:val="lowerLetter"/>
      <w:lvlText w:val="(%5)"/>
      <w:lvlJc w:val="left"/>
      <w:pPr>
        <w:ind w:left="1872" w:hanging="432"/>
      </w:pPr>
      <w:rPr>
        <w:rFonts w:hint="default"/>
      </w:rPr>
    </w:lvl>
    <w:lvl w:ilvl="5">
      <w:start w:val="1"/>
      <w:numFmt w:val="lowerRoman"/>
      <w:lvlText w:val="(%6)"/>
      <w:lvlJc w:val="left"/>
      <w:pPr>
        <w:ind w:left="2232" w:hanging="432"/>
      </w:pPr>
      <w:rPr>
        <w:rFonts w:hint="default"/>
      </w:rPr>
    </w:lvl>
    <w:lvl w:ilvl="6">
      <w:start w:val="1"/>
      <w:numFmt w:val="decimal"/>
      <w:lvlText w:val="%7."/>
      <w:lvlJc w:val="left"/>
      <w:pPr>
        <w:ind w:left="2592" w:hanging="432"/>
      </w:pPr>
      <w:rPr>
        <w:rFonts w:hint="default"/>
      </w:rPr>
    </w:lvl>
    <w:lvl w:ilvl="7">
      <w:start w:val="1"/>
      <w:numFmt w:val="lowerLetter"/>
      <w:lvlText w:val="%8."/>
      <w:lvlJc w:val="left"/>
      <w:pPr>
        <w:ind w:left="2952" w:hanging="432"/>
      </w:pPr>
      <w:rPr>
        <w:rFonts w:hint="default"/>
      </w:rPr>
    </w:lvl>
    <w:lvl w:ilvl="8">
      <w:start w:val="1"/>
      <w:numFmt w:val="lowerRoman"/>
      <w:lvlText w:val="%9."/>
      <w:lvlJc w:val="left"/>
      <w:pPr>
        <w:ind w:left="3312" w:hanging="432"/>
      </w:pPr>
      <w:rPr>
        <w:rFonts w:hint="default"/>
      </w:rPr>
    </w:lvl>
  </w:abstractNum>
  <w:abstractNum w:abstractNumId="20" w15:restartNumberingAfterBreak="0">
    <w:nsid w:val="589D3EA8"/>
    <w:multiLevelType w:val="hybridMultilevel"/>
    <w:tmpl w:val="2320C92C"/>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CE46D4"/>
    <w:multiLevelType w:val="multilevel"/>
    <w:tmpl w:val="DDDA7E38"/>
    <w:lvl w:ilvl="0">
      <w:start w:val="1"/>
      <w:numFmt w:val="decimal"/>
      <w:lvlText w:val="%1)"/>
      <w:lvlJc w:val="left"/>
      <w:pPr>
        <w:ind w:left="432" w:hanging="432"/>
      </w:pPr>
      <w:rPr>
        <w:rFonts w:ascii="Times New Roman" w:hAnsi="Times New Roman" w:hint="default"/>
        <w:b/>
        <w:i w:val="0"/>
        <w:color w:val="auto"/>
        <w:sz w:val="28"/>
      </w:rPr>
    </w:lvl>
    <w:lvl w:ilvl="1">
      <w:start w:val="1"/>
      <w:numFmt w:val="lowerLetter"/>
      <w:lvlText w:val="%2)"/>
      <w:lvlJc w:val="left"/>
      <w:pPr>
        <w:ind w:left="792" w:hanging="432"/>
      </w:pPr>
      <w:rPr>
        <w:rFonts w:ascii="Times New Roman" w:hAnsi="Times New Roman" w:hint="default"/>
        <w:b/>
        <w:i w:val="0"/>
        <w:color w:val="auto"/>
        <w:sz w:val="28"/>
      </w:rPr>
    </w:lvl>
    <w:lvl w:ilvl="2">
      <w:start w:val="1"/>
      <w:numFmt w:val="lowerRoman"/>
      <w:lvlText w:val="%3)"/>
      <w:lvlJc w:val="left"/>
      <w:pPr>
        <w:ind w:left="1152" w:hanging="432"/>
      </w:pPr>
      <w:rPr>
        <w:rFonts w:ascii="Times New Roman" w:hAnsi="Times New Roman" w:hint="default"/>
        <w:b/>
        <w:i w:val="0"/>
        <w:color w:val="auto"/>
        <w:sz w:val="28"/>
      </w:rPr>
    </w:lvl>
    <w:lvl w:ilvl="3">
      <w:start w:val="1"/>
      <w:numFmt w:val="decimal"/>
      <w:lvlText w:val="(%4)"/>
      <w:lvlJc w:val="left"/>
      <w:pPr>
        <w:ind w:left="1512" w:hanging="432"/>
      </w:pPr>
      <w:rPr>
        <w:rFonts w:ascii="Times New Roman" w:hAnsi="Times New Roman" w:hint="default"/>
        <w:b/>
        <w:i w:val="0"/>
        <w:color w:val="auto"/>
        <w:sz w:val="28"/>
      </w:rPr>
    </w:lvl>
    <w:lvl w:ilvl="4">
      <w:start w:val="1"/>
      <w:numFmt w:val="lowerLetter"/>
      <w:lvlText w:val="(%5)"/>
      <w:lvlJc w:val="left"/>
      <w:pPr>
        <w:ind w:left="1872" w:hanging="432"/>
      </w:pPr>
      <w:rPr>
        <w:rFonts w:hint="default"/>
      </w:rPr>
    </w:lvl>
    <w:lvl w:ilvl="5">
      <w:start w:val="1"/>
      <w:numFmt w:val="lowerRoman"/>
      <w:lvlText w:val="(%6)"/>
      <w:lvlJc w:val="left"/>
      <w:pPr>
        <w:ind w:left="2232" w:hanging="432"/>
      </w:pPr>
      <w:rPr>
        <w:rFonts w:hint="default"/>
      </w:rPr>
    </w:lvl>
    <w:lvl w:ilvl="6">
      <w:start w:val="1"/>
      <w:numFmt w:val="decimal"/>
      <w:lvlText w:val="%7."/>
      <w:lvlJc w:val="left"/>
      <w:pPr>
        <w:ind w:left="2592" w:hanging="432"/>
      </w:pPr>
      <w:rPr>
        <w:rFonts w:hint="default"/>
      </w:rPr>
    </w:lvl>
    <w:lvl w:ilvl="7">
      <w:start w:val="1"/>
      <w:numFmt w:val="lowerLetter"/>
      <w:lvlText w:val="%8."/>
      <w:lvlJc w:val="left"/>
      <w:pPr>
        <w:ind w:left="2952" w:hanging="432"/>
      </w:pPr>
      <w:rPr>
        <w:rFonts w:hint="default"/>
      </w:rPr>
    </w:lvl>
    <w:lvl w:ilvl="8">
      <w:start w:val="1"/>
      <w:numFmt w:val="lowerRoman"/>
      <w:lvlText w:val="%9."/>
      <w:lvlJc w:val="left"/>
      <w:pPr>
        <w:ind w:left="3312" w:hanging="432"/>
      </w:pPr>
      <w:rPr>
        <w:rFonts w:hint="default"/>
      </w:rPr>
    </w:lvl>
  </w:abstractNum>
  <w:abstractNum w:abstractNumId="22" w15:restartNumberingAfterBreak="0">
    <w:nsid w:val="6F0201F4"/>
    <w:multiLevelType w:val="hybridMultilevel"/>
    <w:tmpl w:val="3EB4E8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32760B"/>
    <w:multiLevelType w:val="hybridMultilevel"/>
    <w:tmpl w:val="E8768C54"/>
    <w:lvl w:ilvl="0" w:tplc="D29E7CF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514E77"/>
    <w:multiLevelType w:val="multilevel"/>
    <w:tmpl w:val="FE162550"/>
    <w:lvl w:ilvl="0">
      <w:start w:val="1"/>
      <w:numFmt w:val="decimal"/>
      <w:lvlText w:val="%1)"/>
      <w:lvlJc w:val="right"/>
      <w:pPr>
        <w:ind w:left="576" w:hanging="288"/>
      </w:pPr>
      <w:rPr>
        <w:rFonts w:ascii="Times New Roman Bold" w:hAnsi="Times New Roman Bold" w:hint="default"/>
        <w:b/>
        <w:i w:val="0"/>
        <w:color w:val="auto"/>
        <w:sz w:val="24"/>
      </w:rPr>
    </w:lvl>
    <w:lvl w:ilvl="1">
      <w:start w:val="1"/>
      <w:numFmt w:val="lowerLetter"/>
      <w:lvlText w:val="%2)"/>
      <w:lvlJc w:val="right"/>
      <w:pPr>
        <w:ind w:left="792" w:hanging="216"/>
      </w:pPr>
      <w:rPr>
        <w:rFonts w:ascii="Times New Roman Bold" w:hAnsi="Times New Roman Bold" w:hint="default"/>
        <w:b/>
        <w:i w:val="0"/>
        <w:color w:val="auto"/>
        <w:sz w:val="24"/>
      </w:rPr>
    </w:lvl>
    <w:lvl w:ilvl="2">
      <w:start w:val="1"/>
      <w:numFmt w:val="lowerRoman"/>
      <w:lvlText w:val="%3)"/>
      <w:lvlJc w:val="right"/>
      <w:pPr>
        <w:ind w:left="1080" w:hanging="288"/>
      </w:pPr>
      <w:rPr>
        <w:rFonts w:ascii="Times New Roman Bold" w:hAnsi="Times New Roman Bold" w:hint="default"/>
        <w:b/>
        <w:i w:val="0"/>
        <w:color w:val="auto"/>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83966D3"/>
    <w:multiLevelType w:val="multilevel"/>
    <w:tmpl w:val="DDDA7E38"/>
    <w:lvl w:ilvl="0">
      <w:start w:val="1"/>
      <w:numFmt w:val="decimal"/>
      <w:lvlText w:val="%1)"/>
      <w:lvlJc w:val="left"/>
      <w:pPr>
        <w:ind w:left="432" w:hanging="432"/>
      </w:pPr>
      <w:rPr>
        <w:rFonts w:ascii="Times New Roman" w:hAnsi="Times New Roman" w:hint="default"/>
        <w:b/>
        <w:i w:val="0"/>
        <w:color w:val="auto"/>
        <w:sz w:val="28"/>
      </w:rPr>
    </w:lvl>
    <w:lvl w:ilvl="1">
      <w:start w:val="1"/>
      <w:numFmt w:val="lowerLetter"/>
      <w:lvlText w:val="%2)"/>
      <w:lvlJc w:val="left"/>
      <w:pPr>
        <w:ind w:left="792" w:hanging="432"/>
      </w:pPr>
      <w:rPr>
        <w:rFonts w:ascii="Times New Roman" w:hAnsi="Times New Roman" w:hint="default"/>
        <w:b/>
        <w:i w:val="0"/>
        <w:color w:val="auto"/>
        <w:sz w:val="28"/>
      </w:rPr>
    </w:lvl>
    <w:lvl w:ilvl="2">
      <w:start w:val="1"/>
      <w:numFmt w:val="lowerRoman"/>
      <w:lvlText w:val="%3)"/>
      <w:lvlJc w:val="left"/>
      <w:pPr>
        <w:ind w:left="1152" w:hanging="432"/>
      </w:pPr>
      <w:rPr>
        <w:rFonts w:ascii="Times New Roman" w:hAnsi="Times New Roman" w:hint="default"/>
        <w:b/>
        <w:i w:val="0"/>
        <w:color w:val="auto"/>
        <w:sz w:val="28"/>
      </w:rPr>
    </w:lvl>
    <w:lvl w:ilvl="3">
      <w:start w:val="1"/>
      <w:numFmt w:val="decimal"/>
      <w:lvlText w:val="(%4)"/>
      <w:lvlJc w:val="left"/>
      <w:pPr>
        <w:ind w:left="1512" w:hanging="432"/>
      </w:pPr>
      <w:rPr>
        <w:rFonts w:ascii="Times New Roman" w:hAnsi="Times New Roman" w:hint="default"/>
        <w:b/>
        <w:i w:val="0"/>
        <w:color w:val="auto"/>
        <w:sz w:val="28"/>
      </w:rPr>
    </w:lvl>
    <w:lvl w:ilvl="4">
      <w:start w:val="1"/>
      <w:numFmt w:val="lowerLetter"/>
      <w:lvlText w:val="(%5)"/>
      <w:lvlJc w:val="left"/>
      <w:pPr>
        <w:ind w:left="1872" w:hanging="432"/>
      </w:pPr>
      <w:rPr>
        <w:rFonts w:hint="default"/>
      </w:rPr>
    </w:lvl>
    <w:lvl w:ilvl="5">
      <w:start w:val="1"/>
      <w:numFmt w:val="lowerRoman"/>
      <w:lvlText w:val="(%6)"/>
      <w:lvlJc w:val="left"/>
      <w:pPr>
        <w:ind w:left="2232" w:hanging="432"/>
      </w:pPr>
      <w:rPr>
        <w:rFonts w:hint="default"/>
      </w:rPr>
    </w:lvl>
    <w:lvl w:ilvl="6">
      <w:start w:val="1"/>
      <w:numFmt w:val="decimal"/>
      <w:lvlText w:val="%7."/>
      <w:lvlJc w:val="left"/>
      <w:pPr>
        <w:ind w:left="2592" w:hanging="432"/>
      </w:pPr>
      <w:rPr>
        <w:rFonts w:hint="default"/>
      </w:rPr>
    </w:lvl>
    <w:lvl w:ilvl="7">
      <w:start w:val="1"/>
      <w:numFmt w:val="lowerLetter"/>
      <w:lvlText w:val="%8."/>
      <w:lvlJc w:val="left"/>
      <w:pPr>
        <w:ind w:left="2952" w:hanging="432"/>
      </w:pPr>
      <w:rPr>
        <w:rFonts w:hint="default"/>
      </w:rPr>
    </w:lvl>
    <w:lvl w:ilvl="8">
      <w:start w:val="1"/>
      <w:numFmt w:val="lowerRoman"/>
      <w:lvlText w:val="%9."/>
      <w:lvlJc w:val="left"/>
      <w:pPr>
        <w:ind w:left="3312" w:hanging="432"/>
      </w:pPr>
      <w:rPr>
        <w:rFonts w:hint="default"/>
      </w:rPr>
    </w:lvl>
  </w:abstractNum>
  <w:num w:numId="1" w16cid:durableId="1851019795">
    <w:abstractNumId w:val="0"/>
  </w:num>
  <w:num w:numId="2" w16cid:durableId="1393847524">
    <w:abstractNumId w:val="1"/>
  </w:num>
  <w:num w:numId="3" w16cid:durableId="963466931">
    <w:abstractNumId w:val="7"/>
  </w:num>
  <w:num w:numId="4" w16cid:durableId="1534878804">
    <w:abstractNumId w:val="14"/>
  </w:num>
  <w:num w:numId="5" w16cid:durableId="2089156732">
    <w:abstractNumId w:val="17"/>
  </w:num>
  <w:num w:numId="6" w16cid:durableId="357774241">
    <w:abstractNumId w:val="17"/>
  </w:num>
  <w:num w:numId="7" w16cid:durableId="1635521195">
    <w:abstractNumId w:val="17"/>
  </w:num>
  <w:num w:numId="8" w16cid:durableId="576208155">
    <w:abstractNumId w:val="17"/>
  </w:num>
  <w:num w:numId="9" w16cid:durableId="1778480214">
    <w:abstractNumId w:val="0"/>
  </w:num>
  <w:num w:numId="10" w16cid:durableId="1096441339">
    <w:abstractNumId w:val="1"/>
  </w:num>
  <w:num w:numId="11" w16cid:durableId="1887644895">
    <w:abstractNumId w:val="7"/>
  </w:num>
  <w:num w:numId="12" w16cid:durableId="1656841013">
    <w:abstractNumId w:val="14"/>
  </w:num>
  <w:num w:numId="13" w16cid:durableId="172653024">
    <w:abstractNumId w:val="17"/>
  </w:num>
  <w:num w:numId="14" w16cid:durableId="1440031893">
    <w:abstractNumId w:val="17"/>
  </w:num>
  <w:num w:numId="15" w16cid:durableId="1425801884">
    <w:abstractNumId w:val="2"/>
  </w:num>
  <w:num w:numId="16" w16cid:durableId="1174221007">
    <w:abstractNumId w:val="1"/>
  </w:num>
  <w:num w:numId="17" w16cid:durableId="2119794615">
    <w:abstractNumId w:val="3"/>
  </w:num>
  <w:num w:numId="18" w16cid:durableId="1929845527">
    <w:abstractNumId w:val="21"/>
  </w:num>
  <w:num w:numId="19" w16cid:durableId="1347638662">
    <w:abstractNumId w:val="12"/>
  </w:num>
  <w:num w:numId="20" w16cid:durableId="2047833216">
    <w:abstractNumId w:val="5"/>
  </w:num>
  <w:num w:numId="21" w16cid:durableId="552815880">
    <w:abstractNumId w:val="10"/>
  </w:num>
  <w:num w:numId="22" w16cid:durableId="958296950">
    <w:abstractNumId w:val="13"/>
  </w:num>
  <w:num w:numId="23" w16cid:durableId="1252739585">
    <w:abstractNumId w:val="15"/>
  </w:num>
  <w:num w:numId="24" w16cid:durableId="1036854468">
    <w:abstractNumId w:val="8"/>
  </w:num>
  <w:num w:numId="25" w16cid:durableId="828909189">
    <w:abstractNumId w:val="25"/>
  </w:num>
  <w:num w:numId="26" w16cid:durableId="420762698">
    <w:abstractNumId w:val="4"/>
  </w:num>
  <w:num w:numId="27" w16cid:durableId="718938914">
    <w:abstractNumId w:val="19"/>
  </w:num>
  <w:num w:numId="28" w16cid:durableId="172040205">
    <w:abstractNumId w:val="16"/>
  </w:num>
  <w:num w:numId="29" w16cid:durableId="897087207">
    <w:abstractNumId w:val="24"/>
  </w:num>
  <w:num w:numId="30" w16cid:durableId="179200485">
    <w:abstractNumId w:val="11"/>
  </w:num>
  <w:num w:numId="31" w16cid:durableId="1647587847">
    <w:abstractNumId w:val="22"/>
  </w:num>
  <w:num w:numId="32" w16cid:durableId="411313403">
    <w:abstractNumId w:val="9"/>
  </w:num>
  <w:num w:numId="33" w16cid:durableId="664555315">
    <w:abstractNumId w:val="18"/>
  </w:num>
  <w:num w:numId="34" w16cid:durableId="633413413">
    <w:abstractNumId w:val="6"/>
  </w:num>
  <w:num w:numId="35" w16cid:durableId="61802873">
    <w:abstractNumId w:val="20"/>
  </w:num>
  <w:num w:numId="36" w16cid:durableId="208129368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7DB"/>
    <w:rsid w:val="000018A0"/>
    <w:rsid w:val="00010B5B"/>
    <w:rsid w:val="0004496F"/>
    <w:rsid w:val="000575DA"/>
    <w:rsid w:val="00063AE2"/>
    <w:rsid w:val="00071DE2"/>
    <w:rsid w:val="00074368"/>
    <w:rsid w:val="000806C6"/>
    <w:rsid w:val="00081EF0"/>
    <w:rsid w:val="000C0D1C"/>
    <w:rsid w:val="000C3A99"/>
    <w:rsid w:val="000D5965"/>
    <w:rsid w:val="000E2C46"/>
    <w:rsid w:val="000E652D"/>
    <w:rsid w:val="000F04EB"/>
    <w:rsid w:val="000F2EA0"/>
    <w:rsid w:val="0010548B"/>
    <w:rsid w:val="00113B28"/>
    <w:rsid w:val="00125EFF"/>
    <w:rsid w:val="001472C0"/>
    <w:rsid w:val="00150379"/>
    <w:rsid w:val="0016714D"/>
    <w:rsid w:val="00170AA7"/>
    <w:rsid w:val="00181784"/>
    <w:rsid w:val="00193A0F"/>
    <w:rsid w:val="001A7B9E"/>
    <w:rsid w:val="001E1101"/>
    <w:rsid w:val="001E7313"/>
    <w:rsid w:val="00203CFD"/>
    <w:rsid w:val="00203E2D"/>
    <w:rsid w:val="002040C2"/>
    <w:rsid w:val="0022219C"/>
    <w:rsid w:val="00232E23"/>
    <w:rsid w:val="002404C3"/>
    <w:rsid w:val="002412BC"/>
    <w:rsid w:val="00265ED1"/>
    <w:rsid w:val="00291035"/>
    <w:rsid w:val="002A157E"/>
    <w:rsid w:val="002A7514"/>
    <w:rsid w:val="002B0750"/>
    <w:rsid w:val="002C4C10"/>
    <w:rsid w:val="002E0B46"/>
    <w:rsid w:val="002F1B05"/>
    <w:rsid w:val="002F3EC4"/>
    <w:rsid w:val="002F4E60"/>
    <w:rsid w:val="0030148F"/>
    <w:rsid w:val="00307166"/>
    <w:rsid w:val="0031015A"/>
    <w:rsid w:val="0032105C"/>
    <w:rsid w:val="003211F6"/>
    <w:rsid w:val="00340990"/>
    <w:rsid w:val="003606D7"/>
    <w:rsid w:val="00360FE1"/>
    <w:rsid w:val="00364317"/>
    <w:rsid w:val="003752CC"/>
    <w:rsid w:val="00383A23"/>
    <w:rsid w:val="00393700"/>
    <w:rsid w:val="00395BE3"/>
    <w:rsid w:val="003A3EC0"/>
    <w:rsid w:val="003A7D0E"/>
    <w:rsid w:val="003B2BA6"/>
    <w:rsid w:val="003D3AE7"/>
    <w:rsid w:val="003E72BC"/>
    <w:rsid w:val="003E7630"/>
    <w:rsid w:val="003F37B2"/>
    <w:rsid w:val="003F5555"/>
    <w:rsid w:val="00400524"/>
    <w:rsid w:val="0043222B"/>
    <w:rsid w:val="0043294C"/>
    <w:rsid w:val="00444816"/>
    <w:rsid w:val="00450398"/>
    <w:rsid w:val="004767DB"/>
    <w:rsid w:val="00483C7D"/>
    <w:rsid w:val="0048484E"/>
    <w:rsid w:val="00486E70"/>
    <w:rsid w:val="00494289"/>
    <w:rsid w:val="004A4583"/>
    <w:rsid w:val="004C4691"/>
    <w:rsid w:val="004C6796"/>
    <w:rsid w:val="004D0540"/>
    <w:rsid w:val="004E0C05"/>
    <w:rsid w:val="00503891"/>
    <w:rsid w:val="0050464D"/>
    <w:rsid w:val="005144F8"/>
    <w:rsid w:val="005146FC"/>
    <w:rsid w:val="00516636"/>
    <w:rsid w:val="00521F3D"/>
    <w:rsid w:val="005315B6"/>
    <w:rsid w:val="00541718"/>
    <w:rsid w:val="00554A4D"/>
    <w:rsid w:val="005637AD"/>
    <w:rsid w:val="005757AB"/>
    <w:rsid w:val="0059561E"/>
    <w:rsid w:val="005B296F"/>
    <w:rsid w:val="005B5FC0"/>
    <w:rsid w:val="005D2A5D"/>
    <w:rsid w:val="00605BF2"/>
    <w:rsid w:val="00614438"/>
    <w:rsid w:val="006212E5"/>
    <w:rsid w:val="00623FFD"/>
    <w:rsid w:val="006439E8"/>
    <w:rsid w:val="00646E48"/>
    <w:rsid w:val="00671120"/>
    <w:rsid w:val="006729C9"/>
    <w:rsid w:val="006B4392"/>
    <w:rsid w:val="006B48FA"/>
    <w:rsid w:val="006B4AC2"/>
    <w:rsid w:val="006B5C84"/>
    <w:rsid w:val="006B5F86"/>
    <w:rsid w:val="006B6FC6"/>
    <w:rsid w:val="006C0A90"/>
    <w:rsid w:val="006D4228"/>
    <w:rsid w:val="006E27E3"/>
    <w:rsid w:val="006E2A61"/>
    <w:rsid w:val="00700FA3"/>
    <w:rsid w:val="00717C45"/>
    <w:rsid w:val="00722AC5"/>
    <w:rsid w:val="007240A1"/>
    <w:rsid w:val="00727C65"/>
    <w:rsid w:val="00776553"/>
    <w:rsid w:val="007D30A0"/>
    <w:rsid w:val="007D65F3"/>
    <w:rsid w:val="007E4182"/>
    <w:rsid w:val="007E6263"/>
    <w:rsid w:val="007E6BA7"/>
    <w:rsid w:val="007F4B46"/>
    <w:rsid w:val="00816DBF"/>
    <w:rsid w:val="00835A7C"/>
    <w:rsid w:val="0086013D"/>
    <w:rsid w:val="008620AE"/>
    <w:rsid w:val="00872C28"/>
    <w:rsid w:val="00876F93"/>
    <w:rsid w:val="008C175E"/>
    <w:rsid w:val="008C4D89"/>
    <w:rsid w:val="008D3529"/>
    <w:rsid w:val="008F2998"/>
    <w:rsid w:val="008F5115"/>
    <w:rsid w:val="00983FC1"/>
    <w:rsid w:val="00993028"/>
    <w:rsid w:val="009A2607"/>
    <w:rsid w:val="009B1612"/>
    <w:rsid w:val="009B1EE5"/>
    <w:rsid w:val="009D3F98"/>
    <w:rsid w:val="009D4EA0"/>
    <w:rsid w:val="009D67BE"/>
    <w:rsid w:val="009E2F68"/>
    <w:rsid w:val="00A22C32"/>
    <w:rsid w:val="00A23621"/>
    <w:rsid w:val="00A24E60"/>
    <w:rsid w:val="00A276B0"/>
    <w:rsid w:val="00A27FA5"/>
    <w:rsid w:val="00A53778"/>
    <w:rsid w:val="00AB1C7D"/>
    <w:rsid w:val="00AD1617"/>
    <w:rsid w:val="00B24394"/>
    <w:rsid w:val="00B2647A"/>
    <w:rsid w:val="00B3419B"/>
    <w:rsid w:val="00B478D3"/>
    <w:rsid w:val="00B51C35"/>
    <w:rsid w:val="00B52335"/>
    <w:rsid w:val="00B52C35"/>
    <w:rsid w:val="00B55E17"/>
    <w:rsid w:val="00B61BBA"/>
    <w:rsid w:val="00B74F71"/>
    <w:rsid w:val="00B81EF7"/>
    <w:rsid w:val="00B905C8"/>
    <w:rsid w:val="00BB06F8"/>
    <w:rsid w:val="00BB785D"/>
    <w:rsid w:val="00BD054B"/>
    <w:rsid w:val="00BE1B9D"/>
    <w:rsid w:val="00BF07BD"/>
    <w:rsid w:val="00BF084A"/>
    <w:rsid w:val="00BF3A92"/>
    <w:rsid w:val="00BF5F42"/>
    <w:rsid w:val="00C04575"/>
    <w:rsid w:val="00C71C1D"/>
    <w:rsid w:val="00C85573"/>
    <w:rsid w:val="00C86BF3"/>
    <w:rsid w:val="00C907CE"/>
    <w:rsid w:val="00CC1346"/>
    <w:rsid w:val="00CC4D08"/>
    <w:rsid w:val="00CE25A1"/>
    <w:rsid w:val="00CF101B"/>
    <w:rsid w:val="00D51F31"/>
    <w:rsid w:val="00D54E4D"/>
    <w:rsid w:val="00D668C8"/>
    <w:rsid w:val="00D773AB"/>
    <w:rsid w:val="00D9098B"/>
    <w:rsid w:val="00DD0EE4"/>
    <w:rsid w:val="00DF5621"/>
    <w:rsid w:val="00E02422"/>
    <w:rsid w:val="00E11E04"/>
    <w:rsid w:val="00E30C53"/>
    <w:rsid w:val="00E434A5"/>
    <w:rsid w:val="00E472E6"/>
    <w:rsid w:val="00E501B8"/>
    <w:rsid w:val="00E52295"/>
    <w:rsid w:val="00E569AE"/>
    <w:rsid w:val="00E642A5"/>
    <w:rsid w:val="00E64C26"/>
    <w:rsid w:val="00E73224"/>
    <w:rsid w:val="00E74779"/>
    <w:rsid w:val="00E80578"/>
    <w:rsid w:val="00E806A7"/>
    <w:rsid w:val="00E97F15"/>
    <w:rsid w:val="00EA1444"/>
    <w:rsid w:val="00EB5C04"/>
    <w:rsid w:val="00EC1DCA"/>
    <w:rsid w:val="00EC632B"/>
    <w:rsid w:val="00ED2933"/>
    <w:rsid w:val="00ED3C2F"/>
    <w:rsid w:val="00EE1495"/>
    <w:rsid w:val="00EF244B"/>
    <w:rsid w:val="00EF77BB"/>
    <w:rsid w:val="00F06B77"/>
    <w:rsid w:val="00F207BB"/>
    <w:rsid w:val="00F25BF2"/>
    <w:rsid w:val="00F46FBF"/>
    <w:rsid w:val="00F56587"/>
    <w:rsid w:val="00F61446"/>
    <w:rsid w:val="00F70E70"/>
    <w:rsid w:val="00F80AB4"/>
    <w:rsid w:val="00F815E6"/>
    <w:rsid w:val="00F839C4"/>
    <w:rsid w:val="00F96953"/>
    <w:rsid w:val="00FD3ECF"/>
    <w:rsid w:val="00FE1A18"/>
    <w:rsid w:val="00FE210A"/>
    <w:rsid w:val="00FE5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EDC36"/>
  <w15:chartTrackingRefBased/>
  <w15:docId w15:val="{F4B31104-4EAE-45D0-B08A-6FE208EBD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4"/>
        <w:lang w:val="en-US" w:eastAsia="en-US" w:bidi="ar-SA"/>
      </w:rPr>
    </w:rPrDefault>
    <w:pPrDefault>
      <w:pPr>
        <w:spacing w:after="100" w:line="276" w:lineRule="auto"/>
        <w:ind w:firstLine="720"/>
      </w:pPr>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unhideWhenUsed="1" w:qFormat="1"/>
    <w:lsdException w:name="heading 3" w:semiHidden="1" w:uiPriority="5" w:unhideWhenUsed="1" w:qFormat="1"/>
    <w:lsdException w:name="heading 4" w:semiHidden="1" w:uiPriority="6"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D3529"/>
  </w:style>
  <w:style w:type="paragraph" w:styleId="Heading1">
    <w:name w:val="heading 1"/>
    <w:basedOn w:val="Normal"/>
    <w:link w:val="Heading1Char"/>
    <w:uiPriority w:val="3"/>
    <w:qFormat/>
    <w:rsid w:val="002404C3"/>
    <w:pPr>
      <w:keepNext/>
      <w:keepLines/>
      <w:numPr>
        <w:numId w:val="14"/>
      </w:numPr>
      <w:spacing w:before="240" w:after="240"/>
      <w:outlineLvl w:val="0"/>
    </w:pPr>
    <w:rPr>
      <w:rFonts w:asciiTheme="majorHAnsi" w:eastAsiaTheme="majorEastAsia" w:hAnsiTheme="majorHAnsi" w:cstheme="majorBidi"/>
      <w:b/>
      <w:szCs w:val="32"/>
      <w:u w:val="single"/>
    </w:rPr>
  </w:style>
  <w:style w:type="paragraph" w:styleId="Heading2">
    <w:name w:val="heading 2"/>
    <w:basedOn w:val="Normal"/>
    <w:next w:val="Normal"/>
    <w:link w:val="Heading2Char"/>
    <w:uiPriority w:val="4"/>
    <w:qFormat/>
    <w:rsid w:val="002404C3"/>
    <w:pPr>
      <w:keepNext/>
      <w:numPr>
        <w:ilvl w:val="1"/>
        <w:numId w:val="14"/>
      </w:numPr>
      <w:spacing w:before="240" w:after="240"/>
      <w:outlineLvl w:val="1"/>
    </w:pPr>
    <w:rPr>
      <w:rFonts w:eastAsiaTheme="majorEastAsia" w:cstheme="majorBidi"/>
      <w:b/>
      <w:szCs w:val="26"/>
      <w:u w:val="single"/>
    </w:rPr>
  </w:style>
  <w:style w:type="paragraph" w:styleId="Heading3">
    <w:name w:val="heading 3"/>
    <w:basedOn w:val="Normal"/>
    <w:link w:val="Heading3Char"/>
    <w:uiPriority w:val="5"/>
    <w:qFormat/>
    <w:rsid w:val="002404C3"/>
    <w:pPr>
      <w:keepNext/>
      <w:numPr>
        <w:ilvl w:val="2"/>
        <w:numId w:val="15"/>
      </w:numPr>
      <w:spacing w:before="240" w:after="240" w:line="240" w:lineRule="auto"/>
      <w:ind w:firstLine="0"/>
      <w:jc w:val="center"/>
      <w:outlineLvl w:val="2"/>
    </w:pPr>
    <w:rPr>
      <w:rFonts w:eastAsiaTheme="majorEastAsia" w:cstheme="majorBidi"/>
      <w:b/>
      <w:u w:val="single"/>
    </w:rPr>
  </w:style>
  <w:style w:type="paragraph" w:styleId="Heading4">
    <w:name w:val="heading 4"/>
    <w:basedOn w:val="Normal"/>
    <w:link w:val="Heading4Char"/>
    <w:autoRedefine/>
    <w:uiPriority w:val="6"/>
    <w:qFormat/>
    <w:rsid w:val="008D3529"/>
    <w:pPr>
      <w:keepNext/>
      <w:keepLines/>
      <w:framePr w:wrap="notBeside" w:hAnchor="text"/>
      <w:spacing w:before="40"/>
      <w:jc w:val="center"/>
      <w:outlineLvl w:val="3"/>
    </w:pPr>
    <w:rPr>
      <w:rFonts w:asciiTheme="majorHAnsi" w:eastAsiaTheme="majorEastAsia" w:hAnsiTheme="majorHAnsi" w:cstheme="majorBidi"/>
      <w:b/>
      <w:iCs/>
      <w:u w:val="single"/>
    </w:rPr>
  </w:style>
  <w:style w:type="paragraph" w:styleId="Heading5">
    <w:name w:val="heading 5"/>
    <w:basedOn w:val="Normal"/>
    <w:link w:val="Heading5Char"/>
    <w:uiPriority w:val="9"/>
    <w:semiHidden/>
    <w:unhideWhenUsed/>
    <w:qFormat/>
    <w:rsid w:val="008D3529"/>
    <w:pPr>
      <w:keepNext/>
      <w:keepLines/>
      <w:framePr w:wrap="notBeside" w:hAnchor="text"/>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35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eastAsiaTheme="minorEastAsia"/>
    </w:rPr>
  </w:style>
  <w:style w:type="paragraph" w:styleId="EndnoteText">
    <w:name w:val="endnote text"/>
    <w:basedOn w:val="Normal"/>
    <w:link w:val="EndnoteTextChar"/>
    <w:uiPriority w:val="99"/>
    <w:unhideWhenUsed/>
    <w:qFormat/>
    <w:rsid w:val="00CE25A1"/>
    <w:pPr>
      <w:keepLines/>
      <w:spacing w:after="120" w:line="360" w:lineRule="auto"/>
      <w:ind w:left="360" w:hanging="360"/>
    </w:pPr>
  </w:style>
  <w:style w:type="character" w:customStyle="1" w:styleId="EndnoteTextChar">
    <w:name w:val="Endnote Text Char"/>
    <w:basedOn w:val="DefaultParagraphFont"/>
    <w:link w:val="EndnoteText"/>
    <w:uiPriority w:val="99"/>
    <w:rsid w:val="00CE25A1"/>
  </w:style>
  <w:style w:type="character" w:styleId="EndnoteReference">
    <w:name w:val="endnote reference"/>
    <w:basedOn w:val="DefaultParagraphFont"/>
    <w:uiPriority w:val="99"/>
    <w:qFormat/>
    <w:rsid w:val="008D3529"/>
    <w:rPr>
      <w:rFonts w:ascii="Times New Roman" w:hAnsi="Times New Roman"/>
      <w:b/>
      <w:sz w:val="24"/>
      <w:vertAlign w:val="superscript"/>
    </w:rPr>
  </w:style>
  <w:style w:type="table" w:styleId="TableGrid">
    <w:name w:val="Table Grid"/>
    <w:basedOn w:val="TableNormal"/>
    <w:uiPriority w:val="59"/>
    <w:rsid w:val="008D3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Quote">
    <w:name w:val="Legal Quote"/>
    <w:basedOn w:val="Normal"/>
    <w:qFormat/>
    <w:rsid w:val="008D3529"/>
    <w:pPr>
      <w:autoSpaceDE w:val="0"/>
      <w:autoSpaceDN w:val="0"/>
      <w:adjustRightInd w:val="0"/>
      <w:spacing w:after="0" w:line="240" w:lineRule="auto"/>
      <w:ind w:left="720" w:right="720" w:firstLine="0"/>
      <w:jc w:val="both"/>
    </w:pPr>
    <w:rPr>
      <w:rFonts w:eastAsiaTheme="minorEastAsia"/>
    </w:rPr>
  </w:style>
  <w:style w:type="paragraph" w:customStyle="1" w:styleId="TableParagraph">
    <w:name w:val="Table Paragraph"/>
    <w:basedOn w:val="Normal"/>
    <w:autoRedefine/>
    <w:uiPriority w:val="7"/>
    <w:qFormat/>
    <w:rsid w:val="008D3529"/>
    <w:pPr>
      <w:keepNext/>
      <w:keepLines/>
      <w:framePr w:wrap="notBeside" w:hAnchor="text"/>
      <w:spacing w:after="0" w:line="240" w:lineRule="auto"/>
    </w:pPr>
  </w:style>
  <w:style w:type="paragraph" w:customStyle="1" w:styleId="Style1">
    <w:name w:val="Style1"/>
    <w:basedOn w:val="Normal"/>
    <w:autoRedefine/>
    <w:uiPriority w:val="24"/>
    <w:qFormat/>
    <w:rsid w:val="008D3529"/>
    <w:pPr>
      <w:framePr w:wrap="notBeside" w:hAnchor="text"/>
    </w:pPr>
    <w:rPr>
      <w:position w:val="9"/>
      <w:sz w:val="20"/>
    </w:rPr>
  </w:style>
  <w:style w:type="paragraph" w:customStyle="1" w:styleId="Footnote">
    <w:name w:val="Footnote"/>
    <w:basedOn w:val="Normal"/>
    <w:autoRedefine/>
    <w:uiPriority w:val="1"/>
    <w:qFormat/>
    <w:rsid w:val="008D3529"/>
    <w:pPr>
      <w:keepLines/>
      <w:framePr w:wrap="notBeside" w:hAnchor="text"/>
    </w:pPr>
    <w:rPr>
      <w:sz w:val="20"/>
    </w:rPr>
  </w:style>
  <w:style w:type="numbering" w:customStyle="1" w:styleId="JordiesClass">
    <w:name w:val="Jordie's Class"/>
    <w:uiPriority w:val="99"/>
    <w:rsid w:val="008D3529"/>
    <w:pPr>
      <w:numPr>
        <w:numId w:val="1"/>
      </w:numPr>
    </w:pPr>
  </w:style>
  <w:style w:type="paragraph" w:customStyle="1" w:styleId="17">
    <w:name w:val="_17"/>
    <w:uiPriority w:val="99"/>
    <w:rsid w:val="008D35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eastAsiaTheme="minorEastAsia"/>
    </w:rPr>
  </w:style>
  <w:style w:type="paragraph" w:customStyle="1" w:styleId="16">
    <w:name w:val="_16"/>
    <w:uiPriority w:val="99"/>
    <w:rsid w:val="008D352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rFonts w:eastAsiaTheme="minorEastAsia"/>
    </w:rPr>
  </w:style>
  <w:style w:type="paragraph" w:customStyle="1" w:styleId="15">
    <w:name w:val="_15"/>
    <w:uiPriority w:val="99"/>
    <w:rsid w:val="008D352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eastAsiaTheme="minorEastAsia"/>
    </w:rPr>
  </w:style>
  <w:style w:type="paragraph" w:customStyle="1" w:styleId="14">
    <w:name w:val="_14"/>
    <w:uiPriority w:val="99"/>
    <w:rsid w:val="008D352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eastAsiaTheme="minorEastAsia"/>
    </w:rPr>
  </w:style>
  <w:style w:type="paragraph" w:customStyle="1" w:styleId="13">
    <w:name w:val="_13"/>
    <w:uiPriority w:val="99"/>
    <w:rsid w:val="008D352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eastAsiaTheme="minorEastAsia"/>
    </w:rPr>
  </w:style>
  <w:style w:type="paragraph" w:customStyle="1" w:styleId="12">
    <w:name w:val="_12"/>
    <w:uiPriority w:val="99"/>
    <w:rsid w:val="008D3529"/>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eastAsiaTheme="minorEastAsia"/>
    </w:rPr>
  </w:style>
  <w:style w:type="paragraph" w:customStyle="1" w:styleId="11">
    <w:name w:val="_11"/>
    <w:uiPriority w:val="99"/>
    <w:rsid w:val="008D3529"/>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eastAsiaTheme="minorEastAsia"/>
    </w:rPr>
  </w:style>
  <w:style w:type="paragraph" w:customStyle="1" w:styleId="10">
    <w:name w:val="_10"/>
    <w:uiPriority w:val="99"/>
    <w:rsid w:val="008D3529"/>
    <w:pPr>
      <w:widowControl w:val="0"/>
      <w:tabs>
        <w:tab w:val="left" w:pos="5760"/>
        <w:tab w:val="left" w:pos="6480"/>
        <w:tab w:val="left" w:pos="7200"/>
        <w:tab w:val="left" w:pos="7920"/>
        <w:tab w:val="left" w:pos="8640"/>
      </w:tabs>
      <w:autoSpaceDE w:val="0"/>
      <w:autoSpaceDN w:val="0"/>
      <w:adjustRightInd w:val="0"/>
      <w:ind w:left="5760"/>
      <w:jc w:val="both"/>
    </w:pPr>
    <w:rPr>
      <w:rFonts w:eastAsiaTheme="minorEastAsia"/>
    </w:rPr>
  </w:style>
  <w:style w:type="paragraph" w:customStyle="1" w:styleId="Level9">
    <w:name w:val="Level 9"/>
    <w:uiPriority w:val="99"/>
    <w:rsid w:val="008D3529"/>
    <w:pPr>
      <w:widowControl w:val="0"/>
      <w:autoSpaceDE w:val="0"/>
      <w:autoSpaceDN w:val="0"/>
      <w:adjustRightInd w:val="0"/>
      <w:ind w:left="-1440"/>
      <w:jc w:val="both"/>
    </w:pPr>
    <w:rPr>
      <w:rFonts w:eastAsiaTheme="minorEastAsia"/>
      <w:b/>
      <w:bCs/>
    </w:rPr>
  </w:style>
  <w:style w:type="paragraph" w:customStyle="1" w:styleId="26">
    <w:name w:val="_26"/>
    <w:uiPriority w:val="99"/>
    <w:rsid w:val="008D3529"/>
    <w:pPr>
      <w:widowControl w:val="0"/>
      <w:autoSpaceDE w:val="0"/>
      <w:autoSpaceDN w:val="0"/>
      <w:adjustRightInd w:val="0"/>
      <w:jc w:val="both"/>
    </w:pPr>
    <w:rPr>
      <w:rFonts w:eastAsiaTheme="minorEastAsia"/>
    </w:rPr>
  </w:style>
  <w:style w:type="paragraph" w:customStyle="1" w:styleId="25">
    <w:name w:val="_25"/>
    <w:uiPriority w:val="99"/>
    <w:rsid w:val="008D352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rFonts w:eastAsiaTheme="minorEastAsia"/>
    </w:rPr>
  </w:style>
  <w:style w:type="paragraph" w:customStyle="1" w:styleId="24">
    <w:name w:val="_24"/>
    <w:uiPriority w:val="99"/>
    <w:rsid w:val="008D352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eastAsiaTheme="minorEastAsia"/>
    </w:rPr>
  </w:style>
  <w:style w:type="paragraph" w:customStyle="1" w:styleId="23">
    <w:name w:val="_23"/>
    <w:uiPriority w:val="99"/>
    <w:rsid w:val="008D352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eastAsiaTheme="minorEastAsia"/>
    </w:rPr>
  </w:style>
  <w:style w:type="paragraph" w:customStyle="1" w:styleId="22">
    <w:name w:val="_22"/>
    <w:uiPriority w:val="99"/>
    <w:rsid w:val="008D352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eastAsiaTheme="minorEastAsia"/>
    </w:rPr>
  </w:style>
  <w:style w:type="paragraph" w:customStyle="1" w:styleId="21">
    <w:name w:val="_21"/>
    <w:uiPriority w:val="99"/>
    <w:rsid w:val="008D3529"/>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eastAsiaTheme="minorEastAsia"/>
    </w:rPr>
  </w:style>
  <w:style w:type="paragraph" w:customStyle="1" w:styleId="20">
    <w:name w:val="_20"/>
    <w:uiPriority w:val="99"/>
    <w:rsid w:val="008D3529"/>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eastAsiaTheme="minorEastAsia"/>
    </w:rPr>
  </w:style>
  <w:style w:type="paragraph" w:customStyle="1" w:styleId="19">
    <w:name w:val="_19"/>
    <w:uiPriority w:val="99"/>
    <w:rsid w:val="008D3529"/>
    <w:pPr>
      <w:widowControl w:val="0"/>
      <w:tabs>
        <w:tab w:val="left" w:pos="5760"/>
        <w:tab w:val="left" w:pos="6480"/>
        <w:tab w:val="left" w:pos="7200"/>
        <w:tab w:val="left" w:pos="7920"/>
        <w:tab w:val="left" w:pos="8640"/>
      </w:tabs>
      <w:autoSpaceDE w:val="0"/>
      <w:autoSpaceDN w:val="0"/>
      <w:adjustRightInd w:val="0"/>
      <w:ind w:left="5760"/>
      <w:jc w:val="both"/>
    </w:pPr>
    <w:rPr>
      <w:rFonts w:eastAsiaTheme="minorEastAsia"/>
    </w:rPr>
  </w:style>
  <w:style w:type="paragraph" w:customStyle="1" w:styleId="18">
    <w:name w:val="_18"/>
    <w:uiPriority w:val="99"/>
    <w:rsid w:val="008D3529"/>
    <w:pPr>
      <w:widowControl w:val="0"/>
      <w:tabs>
        <w:tab w:val="left" w:pos="6480"/>
        <w:tab w:val="left" w:pos="7200"/>
        <w:tab w:val="left" w:pos="7920"/>
        <w:tab w:val="left" w:pos="8640"/>
      </w:tabs>
      <w:autoSpaceDE w:val="0"/>
      <w:autoSpaceDN w:val="0"/>
      <w:adjustRightInd w:val="0"/>
      <w:ind w:left="6480"/>
      <w:jc w:val="both"/>
    </w:pPr>
    <w:rPr>
      <w:rFonts w:eastAsiaTheme="minorEastAsia"/>
    </w:rPr>
  </w:style>
  <w:style w:type="paragraph" w:customStyle="1" w:styleId="9">
    <w:name w:val="_9"/>
    <w:uiPriority w:val="99"/>
    <w:rsid w:val="008D3529"/>
    <w:pPr>
      <w:widowControl w:val="0"/>
      <w:tabs>
        <w:tab w:val="left" w:pos="6480"/>
        <w:tab w:val="left" w:pos="7200"/>
        <w:tab w:val="left" w:pos="7920"/>
        <w:tab w:val="left" w:pos="8640"/>
      </w:tabs>
      <w:autoSpaceDE w:val="0"/>
      <w:autoSpaceDN w:val="0"/>
      <w:adjustRightInd w:val="0"/>
      <w:ind w:left="6480"/>
      <w:jc w:val="both"/>
    </w:pPr>
    <w:rPr>
      <w:rFonts w:eastAsiaTheme="minorEastAsia"/>
    </w:rPr>
  </w:style>
  <w:style w:type="paragraph" w:customStyle="1" w:styleId="8">
    <w:name w:val="_8"/>
    <w:uiPriority w:val="99"/>
    <w:rsid w:val="008D35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eastAsiaTheme="minorEastAsia"/>
    </w:rPr>
  </w:style>
  <w:style w:type="paragraph" w:customStyle="1" w:styleId="7">
    <w:name w:val="_7"/>
    <w:uiPriority w:val="99"/>
    <w:rsid w:val="008D352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rFonts w:eastAsiaTheme="minorEastAsia"/>
    </w:rPr>
  </w:style>
  <w:style w:type="paragraph" w:customStyle="1" w:styleId="6">
    <w:name w:val="_6"/>
    <w:uiPriority w:val="99"/>
    <w:rsid w:val="008D352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eastAsiaTheme="minorEastAsia"/>
    </w:rPr>
  </w:style>
  <w:style w:type="paragraph" w:customStyle="1" w:styleId="5">
    <w:name w:val="_5"/>
    <w:uiPriority w:val="99"/>
    <w:rsid w:val="008D352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eastAsiaTheme="minorEastAsia"/>
    </w:rPr>
  </w:style>
  <w:style w:type="paragraph" w:customStyle="1" w:styleId="4">
    <w:name w:val="_4"/>
    <w:uiPriority w:val="99"/>
    <w:rsid w:val="008D352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eastAsiaTheme="minorEastAsia"/>
    </w:rPr>
  </w:style>
  <w:style w:type="paragraph" w:customStyle="1" w:styleId="3">
    <w:name w:val="_3"/>
    <w:uiPriority w:val="99"/>
    <w:rsid w:val="008D3529"/>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eastAsiaTheme="minorEastAsia"/>
    </w:rPr>
  </w:style>
  <w:style w:type="paragraph" w:customStyle="1" w:styleId="2">
    <w:name w:val="_2"/>
    <w:uiPriority w:val="99"/>
    <w:rsid w:val="008D3529"/>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eastAsiaTheme="minorEastAsia"/>
    </w:rPr>
  </w:style>
  <w:style w:type="paragraph" w:customStyle="1" w:styleId="1">
    <w:name w:val="_1"/>
    <w:uiPriority w:val="99"/>
    <w:rsid w:val="008D3529"/>
    <w:pPr>
      <w:widowControl w:val="0"/>
      <w:tabs>
        <w:tab w:val="left" w:pos="5760"/>
        <w:tab w:val="left" w:pos="6480"/>
        <w:tab w:val="left" w:pos="7200"/>
        <w:tab w:val="left" w:pos="7920"/>
        <w:tab w:val="left" w:pos="8640"/>
      </w:tabs>
      <w:autoSpaceDE w:val="0"/>
      <w:autoSpaceDN w:val="0"/>
      <w:adjustRightInd w:val="0"/>
      <w:ind w:left="5760"/>
      <w:jc w:val="both"/>
    </w:pPr>
    <w:rPr>
      <w:rFonts w:eastAsiaTheme="minorEastAsia"/>
    </w:rPr>
  </w:style>
  <w:style w:type="paragraph" w:customStyle="1" w:styleId="a">
    <w:name w:val="_"/>
    <w:uiPriority w:val="99"/>
    <w:rsid w:val="008D3529"/>
    <w:pPr>
      <w:widowControl w:val="0"/>
      <w:tabs>
        <w:tab w:val="left" w:pos="6480"/>
        <w:tab w:val="left" w:pos="7200"/>
        <w:tab w:val="left" w:pos="7920"/>
        <w:tab w:val="left" w:pos="8640"/>
      </w:tabs>
      <w:autoSpaceDE w:val="0"/>
      <w:autoSpaceDN w:val="0"/>
      <w:adjustRightInd w:val="0"/>
      <w:ind w:left="6480"/>
      <w:jc w:val="both"/>
    </w:pPr>
    <w:rPr>
      <w:rFonts w:eastAsiaTheme="minorEastAsia"/>
    </w:rPr>
  </w:style>
  <w:style w:type="paragraph" w:customStyle="1" w:styleId="DefinitionT">
    <w:name w:val="Definition T"/>
    <w:uiPriority w:val="99"/>
    <w:rsid w:val="008D35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eastAsiaTheme="minorEastAsia"/>
    </w:rPr>
  </w:style>
  <w:style w:type="paragraph" w:customStyle="1" w:styleId="DefinitionL">
    <w:name w:val="Definition L"/>
    <w:uiPriority w:val="99"/>
    <w:rsid w:val="008D352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jc w:val="both"/>
    </w:pPr>
    <w:rPr>
      <w:rFonts w:eastAsiaTheme="minorEastAsia"/>
    </w:rPr>
  </w:style>
  <w:style w:type="character" w:customStyle="1" w:styleId="Definition">
    <w:name w:val="Definition"/>
    <w:uiPriority w:val="99"/>
    <w:rsid w:val="008D3529"/>
    <w:rPr>
      <w:i/>
      <w:iCs/>
    </w:rPr>
  </w:style>
  <w:style w:type="paragraph" w:customStyle="1" w:styleId="H1">
    <w:name w:val="H1"/>
    <w:uiPriority w:val="99"/>
    <w:rsid w:val="008D35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eastAsiaTheme="minorEastAsia"/>
      <w:b/>
      <w:bCs/>
      <w:sz w:val="48"/>
      <w:szCs w:val="48"/>
    </w:rPr>
  </w:style>
  <w:style w:type="paragraph" w:customStyle="1" w:styleId="H2">
    <w:name w:val="H2"/>
    <w:uiPriority w:val="99"/>
    <w:rsid w:val="008D35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eastAsiaTheme="minorEastAsia"/>
      <w:b/>
      <w:bCs/>
      <w:sz w:val="36"/>
      <w:szCs w:val="36"/>
    </w:rPr>
  </w:style>
  <w:style w:type="paragraph" w:customStyle="1" w:styleId="H3">
    <w:name w:val="H3"/>
    <w:uiPriority w:val="99"/>
    <w:rsid w:val="008D35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eastAsiaTheme="minorEastAsia"/>
      <w:b/>
      <w:bCs/>
      <w:szCs w:val="28"/>
    </w:rPr>
  </w:style>
  <w:style w:type="paragraph" w:customStyle="1" w:styleId="H4">
    <w:name w:val="H4"/>
    <w:uiPriority w:val="99"/>
    <w:rsid w:val="008D35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eastAsiaTheme="minorEastAsia"/>
      <w:b/>
      <w:bCs/>
    </w:rPr>
  </w:style>
  <w:style w:type="paragraph" w:customStyle="1" w:styleId="H5">
    <w:name w:val="H5"/>
    <w:uiPriority w:val="99"/>
    <w:rsid w:val="008D35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eastAsiaTheme="minorEastAsia"/>
      <w:b/>
      <w:bCs/>
      <w:sz w:val="20"/>
      <w:szCs w:val="20"/>
    </w:rPr>
  </w:style>
  <w:style w:type="paragraph" w:customStyle="1" w:styleId="H6">
    <w:name w:val="H6"/>
    <w:uiPriority w:val="99"/>
    <w:rsid w:val="008D35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eastAsiaTheme="minorEastAsia"/>
      <w:b/>
      <w:bCs/>
      <w:sz w:val="16"/>
      <w:szCs w:val="16"/>
    </w:rPr>
  </w:style>
  <w:style w:type="paragraph" w:customStyle="1" w:styleId="Address">
    <w:name w:val="Address"/>
    <w:uiPriority w:val="99"/>
    <w:rsid w:val="008D35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eastAsiaTheme="minorEastAsia"/>
      <w:i/>
      <w:iCs/>
    </w:rPr>
  </w:style>
  <w:style w:type="paragraph" w:customStyle="1" w:styleId="Blockquote">
    <w:name w:val="Blockquote"/>
    <w:uiPriority w:val="99"/>
    <w:rsid w:val="008D352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right="360"/>
      <w:jc w:val="both"/>
    </w:pPr>
    <w:rPr>
      <w:rFonts w:eastAsiaTheme="minorEastAsia"/>
    </w:rPr>
  </w:style>
  <w:style w:type="character" w:customStyle="1" w:styleId="CITE">
    <w:name w:val="CITE"/>
    <w:uiPriority w:val="99"/>
    <w:rsid w:val="008D3529"/>
    <w:rPr>
      <w:i/>
      <w:iCs/>
    </w:rPr>
  </w:style>
  <w:style w:type="character" w:customStyle="1" w:styleId="CODE">
    <w:name w:val="CODE"/>
    <w:uiPriority w:val="99"/>
    <w:rsid w:val="008D3529"/>
    <w:rPr>
      <w:rFonts w:ascii="Courier New" w:hAnsi="Courier New" w:cs="Courier New"/>
      <w:sz w:val="20"/>
      <w:szCs w:val="20"/>
    </w:rPr>
  </w:style>
  <w:style w:type="character" w:customStyle="1" w:styleId="FollowedHype">
    <w:name w:val="FollowedHype"/>
    <w:uiPriority w:val="99"/>
    <w:rsid w:val="008D3529"/>
    <w:rPr>
      <w:color w:val="800080"/>
      <w:u w:val="single"/>
    </w:rPr>
  </w:style>
  <w:style w:type="character" w:customStyle="1" w:styleId="Keyboard">
    <w:name w:val="Keyboard"/>
    <w:uiPriority w:val="99"/>
    <w:rsid w:val="008D3529"/>
    <w:rPr>
      <w:rFonts w:ascii="Courier New" w:hAnsi="Courier New" w:cs="Courier New"/>
      <w:b/>
      <w:bCs/>
      <w:sz w:val="20"/>
      <w:szCs w:val="20"/>
    </w:rPr>
  </w:style>
  <w:style w:type="paragraph" w:customStyle="1" w:styleId="Preformatted">
    <w:name w:val="Preformatted"/>
    <w:uiPriority w:val="99"/>
    <w:rsid w:val="008D352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jc w:val="both"/>
    </w:pPr>
    <w:rPr>
      <w:rFonts w:ascii="Courier New" w:eastAsiaTheme="minorEastAsia" w:hAnsi="Courier New" w:cs="Courier New"/>
      <w:sz w:val="20"/>
      <w:szCs w:val="20"/>
    </w:rPr>
  </w:style>
  <w:style w:type="paragraph" w:customStyle="1" w:styleId="zBottomof">
    <w:name w:val="zBottom of"/>
    <w:uiPriority w:val="99"/>
    <w:rsid w:val="008D3529"/>
    <w:pPr>
      <w:widowControl w:val="0"/>
      <w:pBdr>
        <w:top w:val="double" w:sz="2"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Pr>
      <w:rFonts w:ascii="Arial" w:eastAsiaTheme="minorEastAsia" w:hAnsi="Arial" w:cs="Arial"/>
      <w:sz w:val="16"/>
      <w:szCs w:val="16"/>
    </w:rPr>
  </w:style>
  <w:style w:type="paragraph" w:customStyle="1" w:styleId="zTopofFor">
    <w:name w:val="zTop of For"/>
    <w:uiPriority w:val="99"/>
    <w:rsid w:val="008D3529"/>
    <w:pPr>
      <w:widowControl w:val="0"/>
      <w:pBdr>
        <w:bottom w:val="double" w:sz="2"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Pr>
      <w:rFonts w:ascii="Arial" w:eastAsiaTheme="minorEastAsia" w:hAnsi="Arial" w:cs="Arial"/>
      <w:sz w:val="16"/>
      <w:szCs w:val="16"/>
    </w:rPr>
  </w:style>
  <w:style w:type="character" w:customStyle="1" w:styleId="Sample">
    <w:name w:val="Sample"/>
    <w:uiPriority w:val="99"/>
    <w:rsid w:val="008D3529"/>
    <w:rPr>
      <w:rFonts w:ascii="Courier New" w:hAnsi="Courier New" w:cs="Courier New"/>
    </w:rPr>
  </w:style>
  <w:style w:type="character" w:customStyle="1" w:styleId="Typewriter">
    <w:name w:val="Typewriter"/>
    <w:uiPriority w:val="99"/>
    <w:rsid w:val="008D3529"/>
    <w:rPr>
      <w:rFonts w:ascii="Courier New" w:hAnsi="Courier New" w:cs="Courier New"/>
      <w:sz w:val="20"/>
      <w:szCs w:val="20"/>
    </w:rPr>
  </w:style>
  <w:style w:type="character" w:customStyle="1" w:styleId="Variable">
    <w:name w:val="Variable"/>
    <w:uiPriority w:val="99"/>
    <w:rsid w:val="008D3529"/>
    <w:rPr>
      <w:i/>
      <w:iCs/>
    </w:rPr>
  </w:style>
  <w:style w:type="character" w:customStyle="1" w:styleId="HTMLMarkup">
    <w:name w:val="HTML Markup"/>
    <w:uiPriority w:val="99"/>
    <w:rsid w:val="008D3529"/>
    <w:rPr>
      <w:vanish/>
      <w:color w:val="FF0000"/>
    </w:rPr>
  </w:style>
  <w:style w:type="character" w:customStyle="1" w:styleId="Comment">
    <w:name w:val="Comment"/>
    <w:uiPriority w:val="99"/>
    <w:rsid w:val="008D3529"/>
  </w:style>
  <w:style w:type="character" w:customStyle="1" w:styleId="DefaultPara">
    <w:name w:val="Default Para"/>
    <w:uiPriority w:val="99"/>
    <w:rsid w:val="008D3529"/>
  </w:style>
  <w:style w:type="character" w:customStyle="1" w:styleId="cosearchterm">
    <w:name w:val="co_searchterm"/>
    <w:basedOn w:val="DefaultParagraphFont"/>
    <w:rsid w:val="008D3529"/>
  </w:style>
  <w:style w:type="character" w:customStyle="1" w:styleId="costarpage">
    <w:name w:val="co_starpage"/>
    <w:basedOn w:val="DefaultParagraphFont"/>
    <w:rsid w:val="008D3529"/>
  </w:style>
  <w:style w:type="character" w:customStyle="1" w:styleId="counderline">
    <w:name w:val="co_underline"/>
    <w:basedOn w:val="DefaultParagraphFont"/>
    <w:uiPriority w:val="99"/>
    <w:rsid w:val="008D3529"/>
  </w:style>
  <w:style w:type="paragraph" w:customStyle="1" w:styleId="ListParaNoIndent">
    <w:name w:val="List Para No Indent"/>
    <w:basedOn w:val="ListParagraph"/>
    <w:link w:val="ListParaNoIndentChar"/>
    <w:uiPriority w:val="2"/>
    <w:qFormat/>
    <w:rsid w:val="004767DB"/>
    <w:pPr>
      <w:tabs>
        <w:tab w:val="left" w:pos="43"/>
        <w:tab w:val="left" w:pos="432"/>
      </w:tabs>
      <w:spacing w:line="480" w:lineRule="auto"/>
      <w:ind w:left="0" w:firstLine="0"/>
    </w:pPr>
  </w:style>
  <w:style w:type="character" w:customStyle="1" w:styleId="ListParaNoIndentChar">
    <w:name w:val="List Para No Indent Char"/>
    <w:basedOn w:val="ListParagraphChar"/>
    <w:link w:val="ListParaNoIndent"/>
    <w:uiPriority w:val="2"/>
    <w:rsid w:val="004767DB"/>
    <w:rPr>
      <w:sz w:val="28"/>
      <w:szCs w:val="24"/>
    </w:rPr>
  </w:style>
  <w:style w:type="paragraph" w:styleId="ListParagraph">
    <w:name w:val="List Paragraph"/>
    <w:basedOn w:val="Normal"/>
    <w:link w:val="ListParagraphChar"/>
    <w:uiPriority w:val="34"/>
    <w:qFormat/>
    <w:rsid w:val="008D3529"/>
    <w:pPr>
      <w:ind w:left="432" w:hanging="432"/>
    </w:pPr>
  </w:style>
  <w:style w:type="paragraph" w:customStyle="1" w:styleId="endnotetex1">
    <w:name w:val="endnote tex1"/>
    <w:basedOn w:val="Normal"/>
    <w:qFormat/>
    <w:rsid w:val="008D3529"/>
    <w:pPr>
      <w:widowControl w:val="0"/>
      <w:spacing w:after="0" w:line="240" w:lineRule="auto"/>
      <w:ind w:left="360" w:hanging="360"/>
    </w:pPr>
    <w:rPr>
      <w:rFonts w:eastAsia="Times New Roman"/>
      <w:szCs w:val="20"/>
    </w:rPr>
  </w:style>
  <w:style w:type="character" w:customStyle="1" w:styleId="cohighlight">
    <w:name w:val="co_highlight"/>
    <w:rsid w:val="008D3529"/>
    <w:rPr>
      <w:rFonts w:cs="Times New Roman"/>
    </w:rPr>
  </w:style>
  <w:style w:type="numbering" w:customStyle="1" w:styleId="BigPaper">
    <w:name w:val="Big Paper"/>
    <w:uiPriority w:val="99"/>
    <w:rsid w:val="008D3529"/>
    <w:pPr>
      <w:numPr>
        <w:numId w:val="3"/>
      </w:numPr>
    </w:pPr>
  </w:style>
  <w:style w:type="numbering" w:customStyle="1" w:styleId="Style2">
    <w:name w:val="Style2"/>
    <w:uiPriority w:val="99"/>
    <w:rsid w:val="008D3529"/>
    <w:pPr>
      <w:numPr>
        <w:numId w:val="4"/>
      </w:numPr>
    </w:pPr>
  </w:style>
  <w:style w:type="character" w:customStyle="1" w:styleId="Heading1Char">
    <w:name w:val="Heading 1 Char"/>
    <w:basedOn w:val="DefaultParagraphFont"/>
    <w:link w:val="Heading1"/>
    <w:uiPriority w:val="3"/>
    <w:rsid w:val="008D3529"/>
    <w:rPr>
      <w:rFonts w:asciiTheme="majorHAnsi" w:eastAsiaTheme="majorEastAsia" w:hAnsiTheme="majorHAnsi" w:cstheme="majorBidi"/>
      <w:b/>
      <w:sz w:val="28"/>
      <w:szCs w:val="32"/>
      <w:u w:val="single"/>
    </w:rPr>
  </w:style>
  <w:style w:type="character" w:customStyle="1" w:styleId="Heading2Char">
    <w:name w:val="Heading 2 Char"/>
    <w:basedOn w:val="DefaultParagraphFont"/>
    <w:link w:val="Heading2"/>
    <w:uiPriority w:val="4"/>
    <w:rsid w:val="008D3529"/>
    <w:rPr>
      <w:rFonts w:eastAsiaTheme="majorEastAsia" w:cstheme="majorBidi"/>
      <w:b/>
      <w:szCs w:val="26"/>
      <w:u w:val="single"/>
    </w:rPr>
  </w:style>
  <w:style w:type="character" w:customStyle="1" w:styleId="Heading3Char">
    <w:name w:val="Heading 3 Char"/>
    <w:basedOn w:val="DefaultParagraphFont"/>
    <w:link w:val="Heading3"/>
    <w:uiPriority w:val="5"/>
    <w:rsid w:val="002404C3"/>
    <w:rPr>
      <w:rFonts w:eastAsiaTheme="majorEastAsia" w:cstheme="majorBidi"/>
      <w:b/>
      <w:u w:val="single"/>
    </w:rPr>
  </w:style>
  <w:style w:type="character" w:customStyle="1" w:styleId="Heading4Char">
    <w:name w:val="Heading 4 Char"/>
    <w:basedOn w:val="DefaultParagraphFont"/>
    <w:link w:val="Heading4"/>
    <w:uiPriority w:val="6"/>
    <w:rsid w:val="008D3529"/>
    <w:rPr>
      <w:rFonts w:asciiTheme="majorHAnsi" w:eastAsiaTheme="majorEastAsia" w:hAnsiTheme="majorHAnsi" w:cstheme="majorBidi"/>
      <w:b/>
      <w:iCs/>
      <w:szCs w:val="24"/>
      <w:u w:val="single"/>
    </w:rPr>
  </w:style>
  <w:style w:type="character" w:customStyle="1" w:styleId="Heading5Char">
    <w:name w:val="Heading 5 Char"/>
    <w:basedOn w:val="DefaultParagraphFont"/>
    <w:link w:val="Heading5"/>
    <w:uiPriority w:val="9"/>
    <w:semiHidden/>
    <w:rsid w:val="008D3529"/>
    <w:rPr>
      <w:rFonts w:asciiTheme="majorHAnsi" w:eastAsiaTheme="majorEastAsia" w:hAnsiTheme="majorHAnsi" w:cstheme="majorBidi"/>
      <w:color w:val="2F5496" w:themeColor="accent1" w:themeShade="BF"/>
      <w:szCs w:val="24"/>
    </w:rPr>
  </w:style>
  <w:style w:type="paragraph" w:styleId="TOC1">
    <w:name w:val="toc 1"/>
    <w:basedOn w:val="Normal"/>
    <w:next w:val="Normal"/>
    <w:uiPriority w:val="39"/>
    <w:unhideWhenUsed/>
    <w:qFormat/>
    <w:rsid w:val="008D3529"/>
    <w:pPr>
      <w:tabs>
        <w:tab w:val="left" w:pos="1440"/>
        <w:tab w:val="right" w:leader="dot" w:pos="9350"/>
      </w:tabs>
      <w:spacing w:before="120" w:after="120" w:line="240" w:lineRule="auto"/>
      <w:ind w:left="432" w:hanging="432"/>
    </w:pPr>
    <w:rPr>
      <w:rFonts w:cstheme="minorHAnsi"/>
      <w:b/>
      <w:bCs/>
      <w:caps/>
      <w:noProof/>
      <w:szCs w:val="20"/>
    </w:rPr>
  </w:style>
  <w:style w:type="paragraph" w:styleId="TOC2">
    <w:name w:val="toc 2"/>
    <w:basedOn w:val="Normal"/>
    <w:next w:val="Normal"/>
    <w:uiPriority w:val="39"/>
    <w:unhideWhenUsed/>
    <w:qFormat/>
    <w:rsid w:val="008D3529"/>
    <w:pPr>
      <w:spacing w:after="80" w:line="240" w:lineRule="auto"/>
      <w:ind w:left="288" w:firstLine="0"/>
    </w:pPr>
    <w:rPr>
      <w:rFonts w:cstheme="minorHAnsi"/>
      <w:smallCaps/>
      <w:szCs w:val="20"/>
    </w:rPr>
  </w:style>
  <w:style w:type="paragraph" w:styleId="TOC3">
    <w:name w:val="toc 3"/>
    <w:basedOn w:val="Normal"/>
    <w:next w:val="Normal"/>
    <w:uiPriority w:val="39"/>
    <w:unhideWhenUsed/>
    <w:qFormat/>
    <w:rsid w:val="008D3529"/>
    <w:pPr>
      <w:spacing w:after="80" w:line="240" w:lineRule="auto"/>
      <w:ind w:left="1440" w:hanging="720"/>
    </w:pPr>
    <w:rPr>
      <w:rFonts w:cstheme="minorHAnsi"/>
      <w:iCs/>
      <w:szCs w:val="20"/>
    </w:rPr>
  </w:style>
  <w:style w:type="paragraph" w:styleId="TOC4">
    <w:name w:val="toc 4"/>
    <w:basedOn w:val="Normal"/>
    <w:next w:val="Normal"/>
    <w:uiPriority w:val="39"/>
    <w:unhideWhenUsed/>
    <w:qFormat/>
    <w:rsid w:val="008D3529"/>
    <w:pPr>
      <w:spacing w:after="120" w:line="240" w:lineRule="auto"/>
      <w:ind w:left="720"/>
    </w:pPr>
    <w:rPr>
      <w:rFonts w:cstheme="minorHAnsi"/>
      <w:i/>
      <w:sz w:val="20"/>
      <w:szCs w:val="18"/>
    </w:rPr>
  </w:style>
  <w:style w:type="paragraph" w:styleId="TOC5">
    <w:name w:val="toc 5"/>
    <w:basedOn w:val="Normal"/>
    <w:next w:val="Normal"/>
    <w:autoRedefine/>
    <w:uiPriority w:val="39"/>
    <w:unhideWhenUsed/>
    <w:rsid w:val="008D3529"/>
    <w:pPr>
      <w:spacing w:after="0"/>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8D3529"/>
    <w:pPr>
      <w:spacing w:after="0"/>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8D3529"/>
    <w:pPr>
      <w:spacing w:after="0"/>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8D3529"/>
    <w:pPr>
      <w:spacing w:after="0"/>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8D3529"/>
    <w:pPr>
      <w:spacing w:after="0"/>
      <w:ind w:left="1920"/>
    </w:pPr>
    <w:rPr>
      <w:rFonts w:asciiTheme="minorHAnsi" w:hAnsiTheme="minorHAnsi" w:cstheme="minorHAnsi"/>
      <w:sz w:val="18"/>
      <w:szCs w:val="18"/>
    </w:rPr>
  </w:style>
  <w:style w:type="paragraph" w:styleId="FootnoteText">
    <w:name w:val="footnote text"/>
    <w:basedOn w:val="Normal"/>
    <w:link w:val="FootnoteTextChar"/>
    <w:uiPriority w:val="99"/>
    <w:unhideWhenUsed/>
    <w:rsid w:val="00450398"/>
    <w:pPr>
      <w:framePr w:wrap="notBeside" w:hAnchor="text"/>
      <w:spacing w:after="0"/>
    </w:pPr>
    <w:rPr>
      <w:sz w:val="24"/>
      <w:szCs w:val="20"/>
    </w:rPr>
  </w:style>
  <w:style w:type="character" w:customStyle="1" w:styleId="FootnoteTextChar">
    <w:name w:val="Footnote Text Char"/>
    <w:basedOn w:val="DefaultParagraphFont"/>
    <w:link w:val="FootnoteText"/>
    <w:uiPriority w:val="99"/>
    <w:rsid w:val="00450398"/>
    <w:rPr>
      <w:sz w:val="24"/>
      <w:szCs w:val="20"/>
    </w:rPr>
  </w:style>
  <w:style w:type="paragraph" w:styleId="CommentText">
    <w:name w:val="annotation text"/>
    <w:basedOn w:val="Normal"/>
    <w:link w:val="CommentTextChar"/>
    <w:uiPriority w:val="99"/>
    <w:semiHidden/>
    <w:unhideWhenUsed/>
    <w:rsid w:val="008D3529"/>
    <w:pPr>
      <w:framePr w:wrap="notBeside" w:hAnchor="text"/>
    </w:pPr>
    <w:rPr>
      <w:sz w:val="20"/>
      <w:szCs w:val="20"/>
    </w:rPr>
  </w:style>
  <w:style w:type="character" w:customStyle="1" w:styleId="CommentTextChar">
    <w:name w:val="Comment Text Char"/>
    <w:basedOn w:val="DefaultParagraphFont"/>
    <w:link w:val="CommentText"/>
    <w:uiPriority w:val="99"/>
    <w:semiHidden/>
    <w:rsid w:val="008D3529"/>
    <w:rPr>
      <w:rFonts w:cs="Times New Roman"/>
      <w:sz w:val="20"/>
      <w:szCs w:val="20"/>
    </w:rPr>
  </w:style>
  <w:style w:type="paragraph" w:styleId="Header">
    <w:name w:val="header"/>
    <w:basedOn w:val="Normal"/>
    <w:link w:val="HeaderChar"/>
    <w:uiPriority w:val="99"/>
    <w:unhideWhenUsed/>
    <w:rsid w:val="008D3529"/>
    <w:pPr>
      <w:framePr w:wrap="notBeside" w:hAnchor="text"/>
      <w:tabs>
        <w:tab w:val="center" w:pos="4680"/>
        <w:tab w:val="right" w:pos="9360"/>
      </w:tabs>
    </w:pPr>
  </w:style>
  <w:style w:type="character" w:customStyle="1" w:styleId="HeaderChar">
    <w:name w:val="Header Char"/>
    <w:basedOn w:val="DefaultParagraphFont"/>
    <w:link w:val="Header"/>
    <w:uiPriority w:val="99"/>
    <w:rsid w:val="008D3529"/>
    <w:rPr>
      <w:rFonts w:cs="Times New Roman"/>
      <w:szCs w:val="24"/>
    </w:rPr>
  </w:style>
  <w:style w:type="paragraph" w:styleId="Footer">
    <w:name w:val="footer"/>
    <w:basedOn w:val="Normal"/>
    <w:link w:val="FooterChar"/>
    <w:uiPriority w:val="99"/>
    <w:unhideWhenUsed/>
    <w:qFormat/>
    <w:rsid w:val="008D3529"/>
    <w:pPr>
      <w:keepLines/>
      <w:spacing w:after="0" w:line="240" w:lineRule="auto"/>
      <w:jc w:val="center"/>
    </w:pPr>
    <w:rPr>
      <w:b/>
      <w:sz w:val="20"/>
    </w:rPr>
  </w:style>
  <w:style w:type="character" w:customStyle="1" w:styleId="FooterChar">
    <w:name w:val="Footer Char"/>
    <w:basedOn w:val="DefaultParagraphFont"/>
    <w:link w:val="Footer"/>
    <w:uiPriority w:val="99"/>
    <w:rsid w:val="008D3529"/>
    <w:rPr>
      <w:rFonts w:cs="Times New Roman"/>
      <w:b/>
      <w:sz w:val="20"/>
      <w:szCs w:val="24"/>
    </w:rPr>
  </w:style>
  <w:style w:type="character" w:styleId="FootnoteReference">
    <w:name w:val="footnote reference"/>
    <w:basedOn w:val="DefaultParagraphFont"/>
    <w:uiPriority w:val="99"/>
    <w:semiHidden/>
    <w:unhideWhenUsed/>
    <w:rsid w:val="008D3529"/>
    <w:rPr>
      <w:vertAlign w:val="superscript"/>
    </w:rPr>
  </w:style>
  <w:style w:type="character" w:styleId="CommentReference">
    <w:name w:val="annotation reference"/>
    <w:basedOn w:val="DefaultParagraphFont"/>
    <w:uiPriority w:val="99"/>
    <w:semiHidden/>
    <w:unhideWhenUsed/>
    <w:rsid w:val="008D3529"/>
    <w:rPr>
      <w:sz w:val="16"/>
      <w:szCs w:val="16"/>
    </w:rPr>
  </w:style>
  <w:style w:type="paragraph" w:styleId="BodyText">
    <w:name w:val="Body Text"/>
    <w:basedOn w:val="Normal"/>
    <w:link w:val="BodyTextChar"/>
    <w:uiPriority w:val="99"/>
    <w:semiHidden/>
    <w:unhideWhenUsed/>
    <w:rsid w:val="008D3529"/>
    <w:pPr>
      <w:framePr w:wrap="notBeside" w:hAnchor="text"/>
    </w:pPr>
  </w:style>
  <w:style w:type="character" w:customStyle="1" w:styleId="BodyTextChar">
    <w:name w:val="Body Text Char"/>
    <w:basedOn w:val="DefaultParagraphFont"/>
    <w:link w:val="BodyText"/>
    <w:uiPriority w:val="99"/>
    <w:semiHidden/>
    <w:rsid w:val="008D3529"/>
    <w:rPr>
      <w:rFonts w:cs="Times New Roman"/>
      <w:szCs w:val="24"/>
    </w:rPr>
  </w:style>
  <w:style w:type="character" w:styleId="Hyperlink">
    <w:name w:val="Hyperlink"/>
    <w:basedOn w:val="DefaultParagraphFont"/>
    <w:uiPriority w:val="99"/>
    <w:qFormat/>
    <w:rsid w:val="008D3529"/>
    <w:rPr>
      <w:b/>
      <w:color w:val="auto"/>
      <w:u w:val="single"/>
    </w:rPr>
  </w:style>
  <w:style w:type="character" w:styleId="Strong">
    <w:name w:val="Strong"/>
    <w:basedOn w:val="DefaultParagraphFont"/>
    <w:uiPriority w:val="99"/>
    <w:qFormat/>
    <w:rsid w:val="008D3529"/>
    <w:rPr>
      <w:b/>
      <w:bCs/>
    </w:rPr>
  </w:style>
  <w:style w:type="character" w:styleId="Emphasis">
    <w:name w:val="Emphasis"/>
    <w:basedOn w:val="DefaultParagraphFont"/>
    <w:uiPriority w:val="20"/>
    <w:qFormat/>
    <w:rsid w:val="008D3529"/>
    <w:rPr>
      <w:i/>
      <w:iCs/>
    </w:rPr>
  </w:style>
  <w:style w:type="paragraph" w:styleId="NormalWeb">
    <w:name w:val="Normal (Web)"/>
    <w:basedOn w:val="Normal"/>
    <w:uiPriority w:val="99"/>
    <w:semiHidden/>
    <w:unhideWhenUsed/>
    <w:rsid w:val="008D3529"/>
    <w:pPr>
      <w:spacing w:before="100" w:beforeAutospacing="1" w:afterAutospacing="1" w:line="240" w:lineRule="auto"/>
    </w:pPr>
    <w:rPr>
      <w:rFonts w:eastAsiaTheme="minorEastAsia"/>
    </w:rPr>
  </w:style>
  <w:style w:type="paragraph" w:styleId="CommentSubject">
    <w:name w:val="annotation subject"/>
    <w:basedOn w:val="CommentText"/>
    <w:next w:val="CommentText"/>
    <w:link w:val="CommentSubjectChar"/>
    <w:uiPriority w:val="99"/>
    <w:semiHidden/>
    <w:unhideWhenUsed/>
    <w:rsid w:val="008D3529"/>
    <w:pPr>
      <w:framePr w:wrap="notBeside"/>
    </w:pPr>
    <w:rPr>
      <w:b/>
      <w:bCs/>
    </w:rPr>
  </w:style>
  <w:style w:type="character" w:customStyle="1" w:styleId="CommentSubjectChar">
    <w:name w:val="Comment Subject Char"/>
    <w:basedOn w:val="CommentTextChar"/>
    <w:link w:val="CommentSubject"/>
    <w:uiPriority w:val="99"/>
    <w:semiHidden/>
    <w:rsid w:val="008D3529"/>
    <w:rPr>
      <w:rFonts w:cs="Times New Roman"/>
      <w:b/>
      <w:bCs/>
      <w:sz w:val="20"/>
      <w:szCs w:val="20"/>
    </w:rPr>
  </w:style>
  <w:style w:type="paragraph" w:styleId="BalloonText">
    <w:name w:val="Balloon Text"/>
    <w:basedOn w:val="Normal"/>
    <w:link w:val="BalloonTextChar"/>
    <w:autoRedefine/>
    <w:uiPriority w:val="99"/>
    <w:semiHidden/>
    <w:unhideWhenUsed/>
    <w:qFormat/>
    <w:rsid w:val="008D3529"/>
    <w:pPr>
      <w:framePr w:wrap="notBeside" w:hAnchor="text"/>
      <w:pBdr>
        <w:top w:val="single" w:sz="12" w:space="1" w:color="auto"/>
        <w:left w:val="single" w:sz="12" w:space="2" w:color="auto"/>
        <w:bottom w:val="single" w:sz="12" w:space="1" w:color="auto"/>
        <w:right w:val="single" w:sz="12" w:space="2" w:color="auto"/>
      </w:pBdr>
      <w:spacing w:after="0" w:line="240" w:lineRule="auto"/>
    </w:pPr>
    <w:rPr>
      <w:rFonts w:ascii="Tahoma" w:eastAsia="Times New Roman" w:hAnsi="Tahoma" w:cs="Tahoma"/>
      <w:szCs w:val="16"/>
    </w:rPr>
  </w:style>
  <w:style w:type="character" w:customStyle="1" w:styleId="BalloonTextChar">
    <w:name w:val="Balloon Text Char"/>
    <w:link w:val="BalloonText"/>
    <w:uiPriority w:val="99"/>
    <w:semiHidden/>
    <w:rsid w:val="008D3529"/>
    <w:rPr>
      <w:rFonts w:ascii="Tahoma" w:eastAsia="Times New Roman" w:hAnsi="Tahoma" w:cs="Tahoma"/>
      <w:sz w:val="28"/>
      <w:szCs w:val="16"/>
    </w:rPr>
  </w:style>
  <w:style w:type="character" w:customStyle="1" w:styleId="ListParagraphChar">
    <w:name w:val="List Paragraph Char"/>
    <w:basedOn w:val="DefaultParagraphFont"/>
    <w:link w:val="ListParagraph"/>
    <w:uiPriority w:val="34"/>
    <w:rsid w:val="008D3529"/>
    <w:rPr>
      <w:szCs w:val="24"/>
    </w:rPr>
  </w:style>
  <w:style w:type="character" w:styleId="SubtleEmphasis">
    <w:name w:val="Subtle Emphasis"/>
    <w:basedOn w:val="DefaultParagraphFont"/>
    <w:uiPriority w:val="19"/>
    <w:qFormat/>
    <w:rsid w:val="008D3529"/>
    <w:rPr>
      <w:i/>
      <w:iCs/>
      <w:color w:val="404040" w:themeColor="text1" w:themeTint="BF"/>
    </w:rPr>
  </w:style>
  <w:style w:type="paragraph" w:styleId="TOCHeading">
    <w:name w:val="TOC Heading"/>
    <w:basedOn w:val="Heading1"/>
    <w:next w:val="Normal"/>
    <w:uiPriority w:val="39"/>
    <w:unhideWhenUsed/>
    <w:qFormat/>
    <w:rsid w:val="008D3529"/>
    <w:pPr>
      <w:spacing w:after="0" w:line="259" w:lineRule="auto"/>
      <w:outlineLvl w:val="9"/>
    </w:pPr>
    <w:rPr>
      <w:sz w:val="32"/>
    </w:rPr>
  </w:style>
  <w:style w:type="table" w:customStyle="1" w:styleId="TableGrid1">
    <w:name w:val="Table Grid1"/>
    <w:basedOn w:val="TableNormal"/>
    <w:next w:val="TableGrid"/>
    <w:uiPriority w:val="39"/>
    <w:rsid w:val="00EF244B"/>
    <w:pPr>
      <w:spacing w:after="0" w:line="240" w:lineRule="auto"/>
      <w:ind w:firstLine="0"/>
      <w:jc w:val="center"/>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styleId="UnresolvedMention">
    <w:name w:val="Unresolved Mention"/>
    <w:basedOn w:val="DefaultParagraphFont"/>
    <w:uiPriority w:val="99"/>
    <w:semiHidden/>
    <w:unhideWhenUsed/>
    <w:rsid w:val="005146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208148">
      <w:bodyDiv w:val="1"/>
      <w:marLeft w:val="0"/>
      <w:marRight w:val="0"/>
      <w:marTop w:val="0"/>
      <w:marBottom w:val="0"/>
      <w:divBdr>
        <w:top w:val="none" w:sz="0" w:space="0" w:color="auto"/>
        <w:left w:val="none" w:sz="0" w:space="0" w:color="auto"/>
        <w:bottom w:val="none" w:sz="0" w:space="0" w:color="auto"/>
        <w:right w:val="none" w:sz="0" w:space="0" w:color="auto"/>
      </w:divBdr>
      <w:divsChild>
        <w:div w:id="1512450219">
          <w:marLeft w:val="0"/>
          <w:marRight w:val="0"/>
          <w:marTop w:val="0"/>
          <w:marBottom w:val="0"/>
          <w:divBdr>
            <w:top w:val="none" w:sz="0" w:space="0" w:color="auto"/>
            <w:left w:val="none" w:sz="0" w:space="0" w:color="auto"/>
            <w:bottom w:val="none" w:sz="0" w:space="0" w:color="auto"/>
            <w:right w:val="none" w:sz="0" w:space="0" w:color="auto"/>
          </w:divBdr>
          <w:divsChild>
            <w:div w:id="1551068734">
              <w:marLeft w:val="0"/>
              <w:marRight w:val="0"/>
              <w:marTop w:val="0"/>
              <w:marBottom w:val="0"/>
              <w:divBdr>
                <w:top w:val="none" w:sz="0" w:space="0" w:color="auto"/>
                <w:left w:val="none" w:sz="0" w:space="0" w:color="auto"/>
                <w:bottom w:val="none" w:sz="0" w:space="0" w:color="auto"/>
                <w:right w:val="none" w:sz="0" w:space="0" w:color="auto"/>
              </w:divBdr>
            </w:div>
          </w:divsChild>
        </w:div>
        <w:div w:id="628363427">
          <w:marLeft w:val="0"/>
          <w:marRight w:val="0"/>
          <w:marTop w:val="0"/>
          <w:marBottom w:val="0"/>
          <w:divBdr>
            <w:top w:val="none" w:sz="0" w:space="0" w:color="auto"/>
            <w:left w:val="none" w:sz="0" w:space="0" w:color="auto"/>
            <w:bottom w:val="none" w:sz="0" w:space="0" w:color="auto"/>
            <w:right w:val="none" w:sz="0" w:space="0" w:color="auto"/>
          </w:divBdr>
          <w:divsChild>
            <w:div w:id="1543901376">
              <w:marLeft w:val="0"/>
              <w:marRight w:val="0"/>
              <w:marTop w:val="0"/>
              <w:marBottom w:val="0"/>
              <w:divBdr>
                <w:top w:val="none" w:sz="0" w:space="0" w:color="auto"/>
                <w:left w:val="none" w:sz="0" w:space="0" w:color="auto"/>
                <w:bottom w:val="none" w:sz="0" w:space="0" w:color="auto"/>
                <w:right w:val="none" w:sz="0" w:space="0" w:color="auto"/>
              </w:divBdr>
              <w:divsChild>
                <w:div w:id="110777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88798">
          <w:marLeft w:val="0"/>
          <w:marRight w:val="0"/>
          <w:marTop w:val="0"/>
          <w:marBottom w:val="0"/>
          <w:divBdr>
            <w:top w:val="none" w:sz="0" w:space="0" w:color="auto"/>
            <w:left w:val="none" w:sz="0" w:space="0" w:color="auto"/>
            <w:bottom w:val="none" w:sz="0" w:space="0" w:color="auto"/>
            <w:right w:val="none" w:sz="0" w:space="0" w:color="auto"/>
          </w:divBdr>
          <w:divsChild>
            <w:div w:id="1962955972">
              <w:marLeft w:val="0"/>
              <w:marRight w:val="0"/>
              <w:marTop w:val="0"/>
              <w:marBottom w:val="0"/>
              <w:divBdr>
                <w:top w:val="none" w:sz="0" w:space="0" w:color="auto"/>
                <w:left w:val="none" w:sz="0" w:space="0" w:color="auto"/>
                <w:bottom w:val="none" w:sz="0" w:space="0" w:color="auto"/>
                <w:right w:val="none" w:sz="0" w:space="0" w:color="auto"/>
              </w:divBdr>
              <w:divsChild>
                <w:div w:id="145158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681170">
          <w:marLeft w:val="0"/>
          <w:marRight w:val="0"/>
          <w:marTop w:val="0"/>
          <w:marBottom w:val="0"/>
          <w:divBdr>
            <w:top w:val="none" w:sz="0" w:space="0" w:color="auto"/>
            <w:left w:val="none" w:sz="0" w:space="0" w:color="auto"/>
            <w:bottom w:val="none" w:sz="0" w:space="0" w:color="auto"/>
            <w:right w:val="none" w:sz="0" w:space="0" w:color="auto"/>
          </w:divBdr>
          <w:divsChild>
            <w:div w:id="1422022090">
              <w:marLeft w:val="0"/>
              <w:marRight w:val="0"/>
              <w:marTop w:val="0"/>
              <w:marBottom w:val="0"/>
              <w:divBdr>
                <w:top w:val="none" w:sz="0" w:space="0" w:color="auto"/>
                <w:left w:val="none" w:sz="0" w:space="0" w:color="auto"/>
                <w:bottom w:val="none" w:sz="0" w:space="0" w:color="auto"/>
                <w:right w:val="none" w:sz="0" w:space="0" w:color="auto"/>
              </w:divBdr>
              <w:divsChild>
                <w:div w:id="114381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111648">
          <w:marLeft w:val="0"/>
          <w:marRight w:val="0"/>
          <w:marTop w:val="0"/>
          <w:marBottom w:val="0"/>
          <w:divBdr>
            <w:top w:val="none" w:sz="0" w:space="0" w:color="auto"/>
            <w:left w:val="none" w:sz="0" w:space="0" w:color="auto"/>
            <w:bottom w:val="none" w:sz="0" w:space="0" w:color="auto"/>
            <w:right w:val="none" w:sz="0" w:space="0" w:color="auto"/>
          </w:divBdr>
          <w:divsChild>
            <w:div w:id="825173952">
              <w:marLeft w:val="0"/>
              <w:marRight w:val="0"/>
              <w:marTop w:val="0"/>
              <w:marBottom w:val="0"/>
              <w:divBdr>
                <w:top w:val="none" w:sz="0" w:space="0" w:color="auto"/>
                <w:left w:val="none" w:sz="0" w:space="0" w:color="auto"/>
                <w:bottom w:val="none" w:sz="0" w:space="0" w:color="auto"/>
                <w:right w:val="none" w:sz="0" w:space="0" w:color="auto"/>
              </w:divBdr>
              <w:divsChild>
                <w:div w:id="17145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211219">
      <w:bodyDiv w:val="1"/>
      <w:marLeft w:val="0"/>
      <w:marRight w:val="0"/>
      <w:marTop w:val="0"/>
      <w:marBottom w:val="0"/>
      <w:divBdr>
        <w:top w:val="none" w:sz="0" w:space="0" w:color="auto"/>
        <w:left w:val="none" w:sz="0" w:space="0" w:color="auto"/>
        <w:bottom w:val="none" w:sz="0" w:space="0" w:color="auto"/>
        <w:right w:val="none" w:sz="0" w:space="0" w:color="auto"/>
      </w:divBdr>
      <w:divsChild>
        <w:div w:id="1756248057">
          <w:marLeft w:val="0"/>
          <w:marRight w:val="0"/>
          <w:marTop w:val="0"/>
          <w:marBottom w:val="0"/>
          <w:divBdr>
            <w:top w:val="none" w:sz="0" w:space="0" w:color="auto"/>
            <w:left w:val="none" w:sz="0" w:space="0" w:color="auto"/>
            <w:bottom w:val="none" w:sz="0" w:space="0" w:color="auto"/>
            <w:right w:val="none" w:sz="0" w:space="0" w:color="auto"/>
          </w:divBdr>
        </w:div>
        <w:div w:id="838736413">
          <w:marLeft w:val="0"/>
          <w:marRight w:val="0"/>
          <w:marTop w:val="240"/>
          <w:marBottom w:val="0"/>
          <w:divBdr>
            <w:top w:val="none" w:sz="0" w:space="0" w:color="auto"/>
            <w:left w:val="none" w:sz="0" w:space="0" w:color="auto"/>
            <w:bottom w:val="none" w:sz="0" w:space="0" w:color="auto"/>
            <w:right w:val="none" w:sz="0" w:space="0" w:color="auto"/>
          </w:divBdr>
          <w:divsChild>
            <w:div w:id="1947542468">
              <w:marLeft w:val="0"/>
              <w:marRight w:val="0"/>
              <w:marTop w:val="0"/>
              <w:marBottom w:val="0"/>
              <w:divBdr>
                <w:top w:val="none" w:sz="0" w:space="0" w:color="auto"/>
                <w:left w:val="none" w:sz="0" w:space="0" w:color="auto"/>
                <w:bottom w:val="none" w:sz="0" w:space="0" w:color="auto"/>
                <w:right w:val="none" w:sz="0" w:space="0" w:color="auto"/>
              </w:divBdr>
              <w:divsChild>
                <w:div w:id="190671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861171">
          <w:marLeft w:val="0"/>
          <w:marRight w:val="0"/>
          <w:marTop w:val="240"/>
          <w:marBottom w:val="0"/>
          <w:divBdr>
            <w:top w:val="none" w:sz="0" w:space="0" w:color="auto"/>
            <w:left w:val="none" w:sz="0" w:space="0" w:color="auto"/>
            <w:bottom w:val="none" w:sz="0" w:space="0" w:color="auto"/>
            <w:right w:val="none" w:sz="0" w:space="0" w:color="auto"/>
          </w:divBdr>
          <w:divsChild>
            <w:div w:id="451679303">
              <w:marLeft w:val="0"/>
              <w:marRight w:val="0"/>
              <w:marTop w:val="0"/>
              <w:marBottom w:val="0"/>
              <w:divBdr>
                <w:top w:val="none" w:sz="0" w:space="0" w:color="auto"/>
                <w:left w:val="none" w:sz="0" w:space="0" w:color="auto"/>
                <w:bottom w:val="none" w:sz="0" w:space="0" w:color="auto"/>
                <w:right w:val="none" w:sz="0" w:space="0" w:color="auto"/>
              </w:divBdr>
              <w:divsChild>
                <w:div w:id="162674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479421">
          <w:marLeft w:val="0"/>
          <w:marRight w:val="0"/>
          <w:marTop w:val="240"/>
          <w:marBottom w:val="0"/>
          <w:divBdr>
            <w:top w:val="none" w:sz="0" w:space="0" w:color="auto"/>
            <w:left w:val="none" w:sz="0" w:space="0" w:color="auto"/>
            <w:bottom w:val="none" w:sz="0" w:space="0" w:color="auto"/>
            <w:right w:val="none" w:sz="0" w:space="0" w:color="auto"/>
          </w:divBdr>
          <w:divsChild>
            <w:div w:id="1902668823">
              <w:marLeft w:val="0"/>
              <w:marRight w:val="0"/>
              <w:marTop w:val="0"/>
              <w:marBottom w:val="0"/>
              <w:divBdr>
                <w:top w:val="none" w:sz="0" w:space="0" w:color="auto"/>
                <w:left w:val="none" w:sz="0" w:space="0" w:color="auto"/>
                <w:bottom w:val="none" w:sz="0" w:space="0" w:color="auto"/>
                <w:right w:val="none" w:sz="0" w:space="0" w:color="auto"/>
              </w:divBdr>
              <w:divsChild>
                <w:div w:id="200188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80192">
          <w:marLeft w:val="0"/>
          <w:marRight w:val="0"/>
          <w:marTop w:val="240"/>
          <w:marBottom w:val="0"/>
          <w:divBdr>
            <w:top w:val="none" w:sz="0" w:space="0" w:color="auto"/>
            <w:left w:val="none" w:sz="0" w:space="0" w:color="auto"/>
            <w:bottom w:val="none" w:sz="0" w:space="0" w:color="auto"/>
            <w:right w:val="none" w:sz="0" w:space="0" w:color="auto"/>
          </w:divBdr>
          <w:divsChild>
            <w:div w:id="790246763">
              <w:marLeft w:val="0"/>
              <w:marRight w:val="0"/>
              <w:marTop w:val="0"/>
              <w:marBottom w:val="0"/>
              <w:divBdr>
                <w:top w:val="none" w:sz="0" w:space="0" w:color="auto"/>
                <w:left w:val="none" w:sz="0" w:space="0" w:color="auto"/>
                <w:bottom w:val="none" w:sz="0" w:space="0" w:color="auto"/>
                <w:right w:val="none" w:sz="0" w:space="0" w:color="auto"/>
              </w:divBdr>
              <w:divsChild>
                <w:div w:id="92145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08522">
          <w:marLeft w:val="0"/>
          <w:marRight w:val="0"/>
          <w:marTop w:val="240"/>
          <w:marBottom w:val="0"/>
          <w:divBdr>
            <w:top w:val="none" w:sz="0" w:space="0" w:color="auto"/>
            <w:left w:val="none" w:sz="0" w:space="0" w:color="auto"/>
            <w:bottom w:val="none" w:sz="0" w:space="0" w:color="auto"/>
            <w:right w:val="none" w:sz="0" w:space="0" w:color="auto"/>
          </w:divBdr>
          <w:divsChild>
            <w:div w:id="198053275">
              <w:marLeft w:val="0"/>
              <w:marRight w:val="0"/>
              <w:marTop w:val="0"/>
              <w:marBottom w:val="0"/>
              <w:divBdr>
                <w:top w:val="none" w:sz="0" w:space="0" w:color="auto"/>
                <w:left w:val="none" w:sz="0" w:space="0" w:color="auto"/>
                <w:bottom w:val="none" w:sz="0" w:space="0" w:color="auto"/>
                <w:right w:val="none" w:sz="0" w:space="0" w:color="auto"/>
              </w:divBdr>
              <w:divsChild>
                <w:div w:id="92283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254658">
          <w:marLeft w:val="0"/>
          <w:marRight w:val="0"/>
          <w:marTop w:val="240"/>
          <w:marBottom w:val="0"/>
          <w:divBdr>
            <w:top w:val="none" w:sz="0" w:space="0" w:color="auto"/>
            <w:left w:val="none" w:sz="0" w:space="0" w:color="auto"/>
            <w:bottom w:val="none" w:sz="0" w:space="0" w:color="auto"/>
            <w:right w:val="none" w:sz="0" w:space="0" w:color="auto"/>
          </w:divBdr>
          <w:divsChild>
            <w:div w:id="1175026324">
              <w:marLeft w:val="0"/>
              <w:marRight w:val="0"/>
              <w:marTop w:val="0"/>
              <w:marBottom w:val="0"/>
              <w:divBdr>
                <w:top w:val="none" w:sz="0" w:space="0" w:color="auto"/>
                <w:left w:val="none" w:sz="0" w:space="0" w:color="auto"/>
                <w:bottom w:val="none" w:sz="0" w:space="0" w:color="auto"/>
                <w:right w:val="none" w:sz="0" w:space="0" w:color="auto"/>
              </w:divBdr>
              <w:divsChild>
                <w:div w:id="204081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406283">
          <w:marLeft w:val="0"/>
          <w:marRight w:val="0"/>
          <w:marTop w:val="240"/>
          <w:marBottom w:val="0"/>
          <w:divBdr>
            <w:top w:val="none" w:sz="0" w:space="0" w:color="auto"/>
            <w:left w:val="none" w:sz="0" w:space="0" w:color="auto"/>
            <w:bottom w:val="none" w:sz="0" w:space="0" w:color="auto"/>
            <w:right w:val="none" w:sz="0" w:space="0" w:color="auto"/>
          </w:divBdr>
          <w:divsChild>
            <w:div w:id="85465045">
              <w:marLeft w:val="0"/>
              <w:marRight w:val="0"/>
              <w:marTop w:val="0"/>
              <w:marBottom w:val="0"/>
              <w:divBdr>
                <w:top w:val="none" w:sz="0" w:space="0" w:color="auto"/>
                <w:left w:val="none" w:sz="0" w:space="0" w:color="auto"/>
                <w:bottom w:val="none" w:sz="0" w:space="0" w:color="auto"/>
                <w:right w:val="none" w:sz="0" w:space="0" w:color="auto"/>
              </w:divBdr>
              <w:divsChild>
                <w:div w:id="88899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67622">
          <w:marLeft w:val="0"/>
          <w:marRight w:val="0"/>
          <w:marTop w:val="240"/>
          <w:marBottom w:val="0"/>
          <w:divBdr>
            <w:top w:val="none" w:sz="0" w:space="0" w:color="auto"/>
            <w:left w:val="none" w:sz="0" w:space="0" w:color="auto"/>
            <w:bottom w:val="none" w:sz="0" w:space="0" w:color="auto"/>
            <w:right w:val="none" w:sz="0" w:space="0" w:color="auto"/>
          </w:divBdr>
          <w:divsChild>
            <w:div w:id="1403214047">
              <w:marLeft w:val="0"/>
              <w:marRight w:val="0"/>
              <w:marTop w:val="0"/>
              <w:marBottom w:val="0"/>
              <w:divBdr>
                <w:top w:val="none" w:sz="0" w:space="0" w:color="auto"/>
                <w:left w:val="none" w:sz="0" w:space="0" w:color="auto"/>
                <w:bottom w:val="none" w:sz="0" w:space="0" w:color="auto"/>
                <w:right w:val="none" w:sz="0" w:space="0" w:color="auto"/>
              </w:divBdr>
              <w:divsChild>
                <w:div w:id="182881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next.westlaw.com/Link/Document/FullText?findType=Y&amp;serNum=2044842147&amp;pubNum=0000359&amp;originatingDoc=Ic0a25a40ee0411ef8ff5d110c3800ad4&amp;refType=RP&amp;fi=co_pp_sp_359_143&amp;originationContext=document&amp;transitionType=DocumentItem&amp;ppcid=61d6633860024ad1af6c025612354d53&amp;contextData=(sc.Keycit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1.next.westlaw.com/Link/Document/FullText?findType=Y&amp;serNum=2082925719&amp;pubNum=0000359&amp;originatingDoc=I58afb780d50c11f0a3c8f70e56b00009&amp;refType=RP&amp;originationContext=document&amp;transitionType=DocumentItem&amp;ppcid=7291292720d04541ba1ca124af64bf68&amp;contextData=(sc.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6A0EE-5465-4872-878D-2C99515FD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18</Pages>
  <Words>2905</Words>
  <Characters>16563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Wade Padgett</dc:creator>
  <cp:keywords/>
  <dc:description/>
  <cp:lastModifiedBy>Wade Padgett</cp:lastModifiedBy>
  <cp:revision>3</cp:revision>
  <dcterms:created xsi:type="dcterms:W3CDTF">2026-02-20T16:04:00Z</dcterms:created>
  <dcterms:modified xsi:type="dcterms:W3CDTF">2026-02-20T19:35:00Z</dcterms:modified>
</cp:coreProperties>
</file>