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1178" w14:textId="1E2A68FF" w:rsidR="00437CB7" w:rsidRDefault="00437CB7" w:rsidP="00437CB7">
      <w:pPr>
        <w:spacing w:line="240" w:lineRule="auto"/>
        <w:jc w:val="center"/>
        <w:rPr>
          <w:rFonts w:cstheme="minorHAnsi"/>
          <w:b/>
          <w:sz w:val="28"/>
          <w:szCs w:val="28"/>
        </w:rPr>
      </w:pPr>
      <w:r>
        <w:rPr>
          <w:rFonts w:cstheme="minorHAnsi"/>
          <w:b/>
          <w:sz w:val="28"/>
          <w:szCs w:val="28"/>
        </w:rPr>
        <w:t>DUI #</w:t>
      </w:r>
      <w:r w:rsidR="006D7028">
        <w:rPr>
          <w:rFonts w:cstheme="minorHAnsi"/>
          <w:b/>
          <w:sz w:val="28"/>
          <w:szCs w:val="28"/>
        </w:rPr>
        <w:t>5</w:t>
      </w:r>
      <w:r w:rsidR="004D29E0" w:rsidRPr="009A4754">
        <w:rPr>
          <w:rFonts w:cstheme="minorHAnsi"/>
          <w:b/>
          <w:sz w:val="28"/>
          <w:szCs w:val="28"/>
        </w:rPr>
        <w:t xml:space="preserve"> EPISODE NOTES</w:t>
      </w:r>
    </w:p>
    <w:p w14:paraId="7AF0968F" w14:textId="52544998" w:rsidR="00437CB7" w:rsidRPr="009A4754" w:rsidRDefault="00437CB7" w:rsidP="00437CB7">
      <w:pPr>
        <w:spacing w:line="240" w:lineRule="auto"/>
        <w:jc w:val="center"/>
        <w:rPr>
          <w:rFonts w:cstheme="minorHAnsi"/>
          <w:b/>
          <w:sz w:val="28"/>
          <w:szCs w:val="28"/>
        </w:rPr>
      </w:pPr>
      <w:r>
        <w:rPr>
          <w:rFonts w:cstheme="minorHAnsi"/>
          <w:b/>
          <w:sz w:val="28"/>
          <w:szCs w:val="28"/>
        </w:rPr>
        <w:t>(</w:t>
      </w:r>
      <w:r w:rsidR="00F609AE">
        <w:rPr>
          <w:rFonts w:cstheme="minorHAnsi"/>
          <w:b/>
          <w:sz w:val="28"/>
          <w:szCs w:val="28"/>
        </w:rPr>
        <w:t>S</w:t>
      </w:r>
      <w:r w:rsidR="006D7028">
        <w:rPr>
          <w:rFonts w:cstheme="minorHAnsi"/>
          <w:b/>
          <w:sz w:val="28"/>
          <w:szCs w:val="28"/>
        </w:rPr>
        <w:t>earch Warrants in DUI cases</w:t>
      </w:r>
      <w:r>
        <w:rPr>
          <w:rFonts w:cstheme="minorHAnsi"/>
          <w:b/>
          <w:sz w:val="28"/>
          <w:szCs w:val="28"/>
        </w:rPr>
        <w:t>)</w:t>
      </w:r>
    </w:p>
    <w:p w14:paraId="358A475D" w14:textId="25CFB346"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Hello folks, and welcome to </w:t>
      </w:r>
      <w:r w:rsidR="006D7028">
        <w:rPr>
          <w:rFonts w:cstheme="minorHAnsi"/>
          <w:b/>
          <w:sz w:val="28"/>
          <w:szCs w:val="28"/>
        </w:rPr>
        <w:t>the fifth and final episode</w:t>
      </w:r>
      <w:r w:rsidR="0079387C">
        <w:rPr>
          <w:rFonts w:cstheme="minorHAnsi"/>
          <w:b/>
          <w:sz w:val="28"/>
          <w:szCs w:val="28"/>
        </w:rPr>
        <w:t xml:space="preserve"> of our DUI series on </w:t>
      </w:r>
      <w:r w:rsidRPr="009A4754">
        <w:rPr>
          <w:rFonts w:cstheme="minorHAnsi"/>
          <w:b/>
          <w:sz w:val="28"/>
          <w:szCs w:val="28"/>
        </w:rPr>
        <w:t>The Good Judge-</w:t>
      </w:r>
      <w:proofErr w:type="spellStart"/>
      <w:r w:rsidRPr="009A4754">
        <w:rPr>
          <w:rFonts w:cstheme="minorHAnsi"/>
          <w:b/>
          <w:sz w:val="28"/>
          <w:szCs w:val="28"/>
        </w:rPr>
        <w:t>ment</w:t>
      </w:r>
      <w:proofErr w:type="spellEnd"/>
      <w:r w:rsidRPr="009A4754">
        <w:rPr>
          <w:rFonts w:cstheme="minorHAnsi"/>
          <w:b/>
          <w:sz w:val="28"/>
          <w:szCs w:val="28"/>
        </w:rPr>
        <w:t xml:space="preserve"> Podcast.  I’m Wade Padgett</w:t>
      </w:r>
    </w:p>
    <w:p w14:paraId="4E3CD1B3" w14:textId="35A1271E" w:rsidR="006A1D2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6D7028">
        <w:rPr>
          <w:rFonts w:cstheme="minorHAnsi"/>
          <w:i/>
          <w:sz w:val="28"/>
          <w:szCs w:val="28"/>
        </w:rPr>
        <w:t xml:space="preserve">Having been blessed by Judge </w:t>
      </w:r>
      <w:proofErr w:type="spellStart"/>
      <w:r w:rsidR="006D7028">
        <w:rPr>
          <w:rFonts w:cstheme="minorHAnsi"/>
          <w:i/>
          <w:sz w:val="28"/>
          <w:szCs w:val="28"/>
        </w:rPr>
        <w:t>Studdard’s</w:t>
      </w:r>
      <w:proofErr w:type="spellEnd"/>
      <w:r w:rsidR="006D7028">
        <w:rPr>
          <w:rFonts w:cstheme="minorHAnsi"/>
          <w:i/>
          <w:sz w:val="28"/>
          <w:szCs w:val="28"/>
        </w:rPr>
        <w:t xml:space="preserve"> participation in this series, I am really going to miss his participation.  But for today, welcome back Judge </w:t>
      </w:r>
      <w:proofErr w:type="spellStart"/>
      <w:r w:rsidR="006D7028">
        <w:rPr>
          <w:rFonts w:cstheme="minorHAnsi"/>
          <w:i/>
          <w:sz w:val="28"/>
          <w:szCs w:val="28"/>
        </w:rPr>
        <w:t>Studdard</w:t>
      </w:r>
      <w:proofErr w:type="spellEnd"/>
      <w:r w:rsidR="006D7028">
        <w:rPr>
          <w:rFonts w:cstheme="minorHAnsi"/>
          <w:i/>
          <w:sz w:val="28"/>
          <w:szCs w:val="28"/>
        </w:rPr>
        <w:t>.</w:t>
      </w:r>
    </w:p>
    <w:p w14:paraId="3C711B50" w14:textId="15DBCAE3" w:rsidR="00EC4691" w:rsidRPr="00E61455" w:rsidRDefault="00E61455" w:rsidP="009A4754">
      <w:pPr>
        <w:spacing w:line="480" w:lineRule="auto"/>
        <w:rPr>
          <w:rFonts w:cstheme="minorHAnsi"/>
          <w:b/>
          <w:bCs/>
          <w:i/>
          <w:sz w:val="28"/>
          <w:szCs w:val="28"/>
        </w:rPr>
      </w:pPr>
      <w:r>
        <w:rPr>
          <w:rFonts w:cstheme="minorHAnsi"/>
          <w:b/>
          <w:bCs/>
          <w:i/>
          <w:sz w:val="28"/>
          <w:szCs w:val="28"/>
        </w:rPr>
        <w:t>Ben: ______ (your call)</w:t>
      </w:r>
    </w:p>
    <w:p w14:paraId="304705E3" w14:textId="0987864F" w:rsidR="00BE5880" w:rsidRDefault="006A1D24" w:rsidP="009A4754">
      <w:pPr>
        <w:spacing w:line="480" w:lineRule="auto"/>
        <w:rPr>
          <w:rFonts w:cstheme="minorHAnsi"/>
          <w:b/>
          <w:sz w:val="28"/>
          <w:szCs w:val="28"/>
        </w:rPr>
      </w:pPr>
      <w:r w:rsidRPr="009A4754">
        <w:rPr>
          <w:rFonts w:cstheme="minorHAnsi"/>
          <w:b/>
          <w:sz w:val="28"/>
          <w:szCs w:val="28"/>
        </w:rPr>
        <w:t xml:space="preserve">Wade:  </w:t>
      </w:r>
      <w:r w:rsidR="005D0F8A">
        <w:rPr>
          <w:rFonts w:cstheme="minorHAnsi"/>
          <w:b/>
          <w:sz w:val="28"/>
          <w:szCs w:val="28"/>
        </w:rPr>
        <w:t xml:space="preserve">In </w:t>
      </w:r>
      <w:r w:rsidR="0044134C">
        <w:rPr>
          <w:rFonts w:cstheme="minorHAnsi"/>
          <w:b/>
          <w:sz w:val="28"/>
          <w:szCs w:val="28"/>
        </w:rPr>
        <w:t xml:space="preserve">this series, we have discussed statutes, appellate cases, the Warrant Requirement and the concept of “actual consent” </w:t>
      </w:r>
    </w:p>
    <w:p w14:paraId="1D55AD43" w14:textId="551EDAFE" w:rsidR="00184F80" w:rsidRDefault="00E61455" w:rsidP="009A4754">
      <w:pPr>
        <w:spacing w:line="480" w:lineRule="auto"/>
        <w:rPr>
          <w:rFonts w:cstheme="minorHAnsi"/>
          <w:bCs/>
          <w:i/>
          <w:iCs/>
          <w:sz w:val="28"/>
          <w:szCs w:val="28"/>
        </w:rPr>
      </w:pPr>
      <w:r w:rsidRPr="00E61455">
        <w:rPr>
          <w:rFonts w:cstheme="minorHAnsi"/>
          <w:bCs/>
          <w:i/>
          <w:iCs/>
          <w:sz w:val="28"/>
          <w:szCs w:val="28"/>
        </w:rPr>
        <w:t>Tain:</w:t>
      </w:r>
      <w:r>
        <w:rPr>
          <w:rFonts w:cstheme="minorHAnsi"/>
          <w:bCs/>
          <w:i/>
          <w:iCs/>
          <w:sz w:val="28"/>
          <w:szCs w:val="28"/>
        </w:rPr>
        <w:t xml:space="preserve">  </w:t>
      </w:r>
      <w:r w:rsidR="0044134C">
        <w:rPr>
          <w:rFonts w:cstheme="minorHAnsi"/>
          <w:bCs/>
          <w:i/>
          <w:iCs/>
          <w:sz w:val="28"/>
          <w:szCs w:val="28"/>
        </w:rPr>
        <w:t>We have even discussed whether jumping rope is a valid field sobriety test for DUI cases.</w:t>
      </w:r>
      <w:r w:rsidR="005D6EB1">
        <w:rPr>
          <w:rFonts w:cstheme="minorHAnsi"/>
          <w:bCs/>
          <w:i/>
          <w:iCs/>
          <w:sz w:val="28"/>
          <w:szCs w:val="28"/>
        </w:rPr>
        <w:t xml:space="preserve">  Honestly, if you missed episode</w:t>
      </w:r>
      <w:r w:rsidR="00F609AE">
        <w:rPr>
          <w:rFonts w:cstheme="minorHAnsi"/>
          <w:bCs/>
          <w:i/>
          <w:iCs/>
          <w:sz w:val="28"/>
          <w:szCs w:val="28"/>
        </w:rPr>
        <w:t>s</w:t>
      </w:r>
      <w:r w:rsidR="005D6EB1">
        <w:rPr>
          <w:rFonts w:cstheme="minorHAnsi"/>
          <w:bCs/>
          <w:i/>
          <w:iCs/>
          <w:sz w:val="28"/>
          <w:szCs w:val="28"/>
        </w:rPr>
        <w:t xml:space="preserve"> 1</w:t>
      </w:r>
      <w:r w:rsidR="0044134C">
        <w:rPr>
          <w:rFonts w:cstheme="minorHAnsi"/>
          <w:bCs/>
          <w:i/>
          <w:iCs/>
          <w:sz w:val="28"/>
          <w:szCs w:val="28"/>
        </w:rPr>
        <w:t xml:space="preserve"> through 4</w:t>
      </w:r>
      <w:r w:rsidR="00F609AE">
        <w:rPr>
          <w:rFonts w:cstheme="minorHAnsi"/>
          <w:bCs/>
          <w:i/>
          <w:iCs/>
          <w:sz w:val="28"/>
          <w:szCs w:val="28"/>
        </w:rPr>
        <w:t xml:space="preserve"> </w:t>
      </w:r>
      <w:r w:rsidR="005D6EB1">
        <w:rPr>
          <w:rFonts w:cstheme="minorHAnsi"/>
          <w:bCs/>
          <w:i/>
          <w:iCs/>
          <w:sz w:val="28"/>
          <w:szCs w:val="28"/>
        </w:rPr>
        <w:t>of this DUI series, you need to listen to th</w:t>
      </w:r>
      <w:r w:rsidR="00565499">
        <w:rPr>
          <w:rFonts w:cstheme="minorHAnsi"/>
          <w:bCs/>
          <w:i/>
          <w:iCs/>
          <w:sz w:val="28"/>
          <w:szCs w:val="28"/>
        </w:rPr>
        <w:t>ose</w:t>
      </w:r>
      <w:r w:rsidR="005D6EB1">
        <w:rPr>
          <w:rFonts w:cstheme="minorHAnsi"/>
          <w:bCs/>
          <w:i/>
          <w:iCs/>
          <w:sz w:val="28"/>
          <w:szCs w:val="28"/>
        </w:rPr>
        <w:t xml:space="preserve"> episode</w:t>
      </w:r>
      <w:r w:rsidR="00565499">
        <w:rPr>
          <w:rFonts w:cstheme="minorHAnsi"/>
          <w:bCs/>
          <w:i/>
          <w:iCs/>
          <w:sz w:val="28"/>
          <w:szCs w:val="28"/>
        </w:rPr>
        <w:t>s</w:t>
      </w:r>
      <w:r w:rsidR="005D6EB1">
        <w:rPr>
          <w:rFonts w:cstheme="minorHAnsi"/>
          <w:bCs/>
          <w:i/>
          <w:iCs/>
          <w:sz w:val="28"/>
          <w:szCs w:val="28"/>
        </w:rPr>
        <w:t xml:space="preserve"> first.</w:t>
      </w:r>
      <w:r w:rsidR="00FD4ED0">
        <w:rPr>
          <w:rFonts w:cstheme="minorHAnsi"/>
          <w:bCs/>
          <w:i/>
          <w:iCs/>
          <w:sz w:val="28"/>
          <w:szCs w:val="28"/>
        </w:rPr>
        <w:t xml:space="preserve">  Judge </w:t>
      </w:r>
      <w:proofErr w:type="spellStart"/>
      <w:r w:rsidR="00FD4ED0">
        <w:rPr>
          <w:rFonts w:cstheme="minorHAnsi"/>
          <w:bCs/>
          <w:i/>
          <w:iCs/>
          <w:sz w:val="28"/>
          <w:szCs w:val="28"/>
        </w:rPr>
        <w:t>Studdard</w:t>
      </w:r>
      <w:proofErr w:type="spellEnd"/>
      <w:r w:rsidR="00FD4ED0">
        <w:rPr>
          <w:rFonts w:cstheme="minorHAnsi"/>
          <w:bCs/>
          <w:i/>
          <w:iCs/>
          <w:sz w:val="28"/>
          <w:szCs w:val="28"/>
        </w:rPr>
        <w:t>, tell the folks what we are discussing today.</w:t>
      </w:r>
    </w:p>
    <w:p w14:paraId="44D45D07" w14:textId="3258A0C1" w:rsidR="00CA09ED" w:rsidRDefault="00CA09ED" w:rsidP="009A4754">
      <w:pPr>
        <w:spacing w:line="480" w:lineRule="auto"/>
        <w:rPr>
          <w:rFonts w:cstheme="minorHAnsi"/>
          <w:b/>
          <w:i/>
          <w:iCs/>
          <w:sz w:val="28"/>
          <w:szCs w:val="28"/>
        </w:rPr>
      </w:pPr>
      <w:r>
        <w:rPr>
          <w:rFonts w:cstheme="minorHAnsi"/>
          <w:b/>
          <w:i/>
          <w:iCs/>
          <w:sz w:val="28"/>
          <w:szCs w:val="28"/>
        </w:rPr>
        <w:t>Ben:  Today, we are going to discuss</w:t>
      </w:r>
      <w:r w:rsidR="0044134C">
        <w:rPr>
          <w:rFonts w:cstheme="minorHAnsi"/>
          <w:b/>
          <w:i/>
          <w:iCs/>
          <w:sz w:val="28"/>
          <w:szCs w:val="28"/>
        </w:rPr>
        <w:t xml:space="preserve"> search warrants and how they can be used in DUI cases.</w:t>
      </w:r>
      <w:r w:rsidR="00FD4ED0">
        <w:rPr>
          <w:rFonts w:cstheme="minorHAnsi"/>
          <w:b/>
          <w:i/>
          <w:iCs/>
          <w:sz w:val="28"/>
          <w:szCs w:val="28"/>
        </w:rPr>
        <w:t>.</w:t>
      </w:r>
    </w:p>
    <w:p w14:paraId="6C9589C2" w14:textId="5A27203C" w:rsidR="00CA09ED" w:rsidRPr="00CA09ED" w:rsidRDefault="00CA09ED" w:rsidP="009A4754">
      <w:pPr>
        <w:spacing w:line="480" w:lineRule="auto"/>
        <w:rPr>
          <w:rFonts w:cstheme="minorHAnsi"/>
          <w:bCs/>
          <w:i/>
          <w:iCs/>
          <w:sz w:val="28"/>
          <w:szCs w:val="28"/>
        </w:rPr>
      </w:pPr>
      <w:r>
        <w:rPr>
          <w:rFonts w:cstheme="minorHAnsi"/>
          <w:bCs/>
          <w:i/>
          <w:iCs/>
          <w:sz w:val="28"/>
          <w:szCs w:val="28"/>
        </w:rPr>
        <w:t xml:space="preserve">Tain: </w:t>
      </w:r>
      <w:r w:rsidR="00FD4ED0">
        <w:rPr>
          <w:rFonts w:cstheme="minorHAnsi"/>
          <w:bCs/>
          <w:i/>
          <w:iCs/>
          <w:sz w:val="28"/>
          <w:szCs w:val="28"/>
        </w:rPr>
        <w:t xml:space="preserve">I </w:t>
      </w:r>
      <w:r w:rsidR="0044134C">
        <w:rPr>
          <w:rFonts w:cstheme="minorHAnsi"/>
          <w:bCs/>
          <w:i/>
          <w:iCs/>
          <w:sz w:val="28"/>
          <w:szCs w:val="28"/>
        </w:rPr>
        <w:t>am really going to miss this guy when we finish this series</w:t>
      </w:r>
      <w:r w:rsidR="00FD4ED0">
        <w:rPr>
          <w:rFonts w:cstheme="minorHAnsi"/>
          <w:bCs/>
          <w:i/>
          <w:iCs/>
          <w:sz w:val="28"/>
          <w:szCs w:val="28"/>
        </w:rPr>
        <w:t xml:space="preserve"> – nice job Judge </w:t>
      </w:r>
      <w:proofErr w:type="spellStart"/>
      <w:r w:rsidR="00FD4ED0">
        <w:rPr>
          <w:rFonts w:cstheme="minorHAnsi"/>
          <w:bCs/>
          <w:i/>
          <w:iCs/>
          <w:sz w:val="28"/>
          <w:szCs w:val="28"/>
        </w:rPr>
        <w:t>Studdard</w:t>
      </w:r>
      <w:proofErr w:type="spellEnd"/>
      <w:r>
        <w:rPr>
          <w:rFonts w:cstheme="minorHAnsi"/>
          <w:bCs/>
          <w:i/>
          <w:iCs/>
          <w:sz w:val="28"/>
          <w:szCs w:val="28"/>
        </w:rPr>
        <w:t>.</w:t>
      </w:r>
    </w:p>
    <w:p w14:paraId="62B70408" w14:textId="0BC114E7" w:rsidR="00184F80" w:rsidRPr="00184F80" w:rsidRDefault="00E70DEA" w:rsidP="009A4754">
      <w:pPr>
        <w:spacing w:line="480" w:lineRule="auto"/>
        <w:rPr>
          <w:rFonts w:cstheme="minorHAnsi"/>
          <w:bCs/>
          <w:sz w:val="28"/>
          <w:szCs w:val="28"/>
        </w:rPr>
      </w:pPr>
      <w:r>
        <w:rPr>
          <w:rFonts w:cstheme="minorHAnsi"/>
          <w:b/>
          <w:sz w:val="28"/>
          <w:szCs w:val="28"/>
        </w:rPr>
        <w:lastRenderedPageBreak/>
        <w:pict w14:anchorId="437F753A">
          <v:rect id="_x0000_i1025" style="width:0;height:1.5pt" o:hralign="center" o:hrstd="t" o:hr="t" fillcolor="#a0a0a0" stroked="f"/>
        </w:pict>
      </w:r>
    </w:p>
    <w:p w14:paraId="664E5526" w14:textId="2F766AD8" w:rsidR="00BE5880" w:rsidRDefault="0087415F" w:rsidP="009A4754">
      <w:pPr>
        <w:spacing w:line="480" w:lineRule="auto"/>
        <w:rPr>
          <w:rFonts w:cstheme="minorHAnsi"/>
          <w:b/>
          <w:sz w:val="28"/>
          <w:szCs w:val="28"/>
        </w:rPr>
      </w:pPr>
      <w:r w:rsidRPr="0087415F">
        <w:rPr>
          <w:rFonts w:cstheme="minorHAnsi"/>
          <w:b/>
          <w:sz w:val="28"/>
          <w:szCs w:val="28"/>
        </w:rPr>
        <w:t>Wade:</w:t>
      </w:r>
      <w:r>
        <w:rPr>
          <w:rFonts w:cstheme="minorHAnsi"/>
          <w:b/>
          <w:sz w:val="28"/>
          <w:szCs w:val="28"/>
        </w:rPr>
        <w:t xml:space="preserve">  </w:t>
      </w:r>
      <w:r w:rsidR="0044134C">
        <w:rPr>
          <w:rFonts w:cstheme="minorHAnsi"/>
          <w:b/>
          <w:sz w:val="28"/>
          <w:szCs w:val="28"/>
        </w:rPr>
        <w:t xml:space="preserve">We hope you have enjoyed this discussion of DUI law throughout this series.  Please let us know </w:t>
      </w:r>
      <w:r w:rsidR="004E7E6C">
        <w:rPr>
          <w:rFonts w:cstheme="minorHAnsi"/>
          <w:b/>
          <w:sz w:val="28"/>
          <w:szCs w:val="28"/>
        </w:rPr>
        <w:t>by shooting us an e-mail at goodjudgepod@gmail.com</w:t>
      </w:r>
      <w:r w:rsidR="00FD4ED0">
        <w:rPr>
          <w:rFonts w:cstheme="minorHAnsi"/>
          <w:b/>
          <w:sz w:val="28"/>
          <w:szCs w:val="28"/>
        </w:rPr>
        <w:t>.</w:t>
      </w:r>
    </w:p>
    <w:p w14:paraId="530082E8" w14:textId="04AD02B1" w:rsidR="00313B8E" w:rsidRPr="00313B8E" w:rsidRDefault="00313B8E" w:rsidP="00313B8E">
      <w:pPr>
        <w:spacing w:line="480" w:lineRule="auto"/>
        <w:rPr>
          <w:rFonts w:cstheme="minorHAnsi"/>
          <w:b/>
          <w:sz w:val="28"/>
          <w:szCs w:val="28"/>
        </w:rPr>
      </w:pPr>
      <w:r>
        <w:rPr>
          <w:rFonts w:cstheme="minorHAnsi"/>
          <w:b/>
          <w:sz w:val="28"/>
          <w:szCs w:val="28"/>
        </w:rPr>
        <w:pict w14:anchorId="4F54D645">
          <v:rect id="_x0000_i1038" style="width:0;height:1.5pt" o:hralign="center" o:hrstd="t" o:hr="t" fillcolor="#a0a0a0" stroked="f"/>
        </w:pict>
      </w:r>
    </w:p>
    <w:p w14:paraId="1139B1BA" w14:textId="797FB0CD" w:rsidR="004E7E6C" w:rsidRPr="004E7E6C" w:rsidRDefault="004E7E6C" w:rsidP="00313B8E">
      <w:pPr>
        <w:pStyle w:val="ListParagraph"/>
        <w:numPr>
          <w:ilvl w:val="0"/>
          <w:numId w:val="5"/>
        </w:numPr>
        <w:spacing w:line="480" w:lineRule="auto"/>
        <w:rPr>
          <w:rFonts w:cstheme="minorHAnsi"/>
          <w:b/>
          <w:sz w:val="28"/>
          <w:szCs w:val="28"/>
        </w:rPr>
      </w:pPr>
      <w:r>
        <w:rPr>
          <w:rFonts w:cstheme="minorHAnsi"/>
          <w:bCs/>
          <w:sz w:val="28"/>
          <w:szCs w:val="28"/>
        </w:rPr>
        <w:t>In prior episodes within this series, we discussed the Warrant Requirement – under the 4</w:t>
      </w:r>
      <w:r w:rsidRPr="004E7E6C">
        <w:rPr>
          <w:rFonts w:cstheme="minorHAnsi"/>
          <w:bCs/>
          <w:sz w:val="28"/>
          <w:szCs w:val="28"/>
          <w:vertAlign w:val="superscript"/>
        </w:rPr>
        <w:t>th</w:t>
      </w:r>
      <w:r>
        <w:rPr>
          <w:rFonts w:cstheme="minorHAnsi"/>
          <w:bCs/>
          <w:sz w:val="28"/>
          <w:szCs w:val="28"/>
        </w:rPr>
        <w:t xml:space="preserve"> Amendment, no search or seizure should be conducted without a search warrant.</w:t>
      </w:r>
    </w:p>
    <w:p w14:paraId="32AE944C" w14:textId="09DEAA38" w:rsidR="004E7E6C" w:rsidRPr="004E7E6C" w:rsidRDefault="004E7E6C" w:rsidP="004E7E6C">
      <w:pPr>
        <w:pStyle w:val="ListParagraph"/>
        <w:numPr>
          <w:ilvl w:val="1"/>
          <w:numId w:val="5"/>
        </w:numPr>
        <w:spacing w:line="480" w:lineRule="auto"/>
        <w:rPr>
          <w:rFonts w:cstheme="minorHAnsi"/>
          <w:b/>
          <w:sz w:val="28"/>
          <w:szCs w:val="28"/>
        </w:rPr>
      </w:pPr>
      <w:r>
        <w:rPr>
          <w:rFonts w:cstheme="minorHAnsi"/>
          <w:bCs/>
          <w:sz w:val="28"/>
          <w:szCs w:val="28"/>
        </w:rPr>
        <w:t>There are some well-defined exceptions to the Warrant Requirement, particularly the exception widely known as consent</w:t>
      </w:r>
    </w:p>
    <w:p w14:paraId="3E34E655" w14:textId="602E1DE4" w:rsidR="004E7E6C" w:rsidRPr="004E7E6C" w:rsidRDefault="004E7E6C" w:rsidP="004E7E6C">
      <w:pPr>
        <w:pStyle w:val="ListParagraph"/>
        <w:numPr>
          <w:ilvl w:val="1"/>
          <w:numId w:val="5"/>
        </w:numPr>
        <w:spacing w:line="480" w:lineRule="auto"/>
        <w:rPr>
          <w:rFonts w:cstheme="minorHAnsi"/>
          <w:b/>
          <w:sz w:val="28"/>
          <w:szCs w:val="28"/>
        </w:rPr>
      </w:pPr>
      <w:r>
        <w:rPr>
          <w:rFonts w:cstheme="minorHAnsi"/>
          <w:bCs/>
          <w:sz w:val="28"/>
          <w:szCs w:val="28"/>
        </w:rPr>
        <w:t>And we discussed the topic of “actual consent” relating to participating in state-administered testing.</w:t>
      </w:r>
    </w:p>
    <w:p w14:paraId="643D95AF" w14:textId="76DEB9D3" w:rsidR="004E7E6C" w:rsidRPr="00852C49" w:rsidRDefault="00410CAE" w:rsidP="00410CAE">
      <w:pPr>
        <w:pStyle w:val="ListParagraph"/>
        <w:numPr>
          <w:ilvl w:val="0"/>
          <w:numId w:val="5"/>
        </w:numPr>
        <w:spacing w:line="480" w:lineRule="auto"/>
        <w:rPr>
          <w:rFonts w:cstheme="minorHAnsi"/>
          <w:b/>
          <w:sz w:val="28"/>
          <w:szCs w:val="28"/>
        </w:rPr>
      </w:pPr>
      <w:r>
        <w:rPr>
          <w:rFonts w:cstheme="minorHAnsi"/>
          <w:bCs/>
          <w:sz w:val="28"/>
          <w:szCs w:val="28"/>
        </w:rPr>
        <w:t xml:space="preserve">But today, we are going to look at search warrants in DUI cases – the </w:t>
      </w:r>
      <w:r w:rsidR="004C3353">
        <w:rPr>
          <w:rFonts w:cstheme="minorHAnsi"/>
          <w:bCs/>
          <w:sz w:val="28"/>
          <w:szCs w:val="28"/>
        </w:rPr>
        <w:t>single document</w:t>
      </w:r>
      <w:r>
        <w:rPr>
          <w:rFonts w:cstheme="minorHAnsi"/>
          <w:bCs/>
          <w:sz w:val="28"/>
          <w:szCs w:val="28"/>
        </w:rPr>
        <w:t xml:space="preserve"> that eliminates a great deal of litigation concerning ICW, “actual consent,” refusals, independent testing rights and any number of other related issues that we often are forced to litigate in DUI cases.</w:t>
      </w:r>
    </w:p>
    <w:p w14:paraId="4CF479C2" w14:textId="0064C40D" w:rsidR="00852C49" w:rsidRPr="00852C49" w:rsidRDefault="00852C49" w:rsidP="00852C49">
      <w:pPr>
        <w:spacing w:line="480" w:lineRule="auto"/>
        <w:rPr>
          <w:rFonts w:cstheme="minorHAnsi"/>
          <w:b/>
          <w:sz w:val="28"/>
          <w:szCs w:val="28"/>
        </w:rPr>
      </w:pPr>
      <w:r>
        <w:rPr>
          <w:rFonts w:cstheme="minorHAnsi"/>
          <w:b/>
          <w:sz w:val="28"/>
          <w:szCs w:val="28"/>
        </w:rPr>
        <w:pict w14:anchorId="2D6E6D53">
          <v:rect id="_x0000_i1069" style="width:0;height:1.5pt" o:hralign="center" o:hrstd="t" o:hr="t" fillcolor="#a0a0a0" stroked="f"/>
        </w:pict>
      </w:r>
    </w:p>
    <w:p w14:paraId="0C685CC4" w14:textId="2003E396" w:rsidR="00410CAE" w:rsidRPr="00410CAE" w:rsidRDefault="00410CAE" w:rsidP="00410CAE">
      <w:pPr>
        <w:pStyle w:val="ListParagraph"/>
        <w:numPr>
          <w:ilvl w:val="0"/>
          <w:numId w:val="5"/>
        </w:numPr>
        <w:spacing w:line="480" w:lineRule="auto"/>
        <w:rPr>
          <w:rFonts w:cstheme="minorHAnsi"/>
          <w:b/>
          <w:sz w:val="28"/>
          <w:szCs w:val="28"/>
        </w:rPr>
      </w:pPr>
      <w:r>
        <w:rPr>
          <w:rFonts w:cstheme="minorHAnsi"/>
          <w:bCs/>
          <w:sz w:val="28"/>
          <w:szCs w:val="28"/>
        </w:rPr>
        <w:lastRenderedPageBreak/>
        <w:t xml:space="preserve">O.C.G.A. § 40-5-67.1 specifically provides, </w:t>
      </w:r>
      <w:r w:rsidRPr="00410CAE">
        <w:rPr>
          <w:rFonts w:cstheme="minorHAnsi"/>
          <w:bCs/>
          <w:sz w:val="28"/>
          <w:szCs w:val="28"/>
        </w:rPr>
        <w:t>“</w:t>
      </w:r>
      <w:r w:rsidRPr="00410CAE">
        <w:rPr>
          <w:rFonts w:eastAsia="Times New Roman"/>
          <w:sz w:val="28"/>
          <w:szCs w:val="28"/>
        </w:rPr>
        <w:t>Nothing in this Code section shall be deemed to preclude the acquisition or admission of evidence of a violation of Code Section 40-6-391 if obtained by voluntary consent or a search warrant as authorized by the Constitution or laws of this state or the United States.”</w:t>
      </w:r>
    </w:p>
    <w:p w14:paraId="2E9C3B3E" w14:textId="0308B7B8" w:rsidR="004E7E6C" w:rsidRPr="004E7E6C" w:rsidRDefault="00852C49" w:rsidP="00852C49">
      <w:pPr>
        <w:pStyle w:val="ListParagraph"/>
        <w:numPr>
          <w:ilvl w:val="1"/>
          <w:numId w:val="5"/>
        </w:numPr>
        <w:spacing w:line="480" w:lineRule="auto"/>
        <w:rPr>
          <w:rFonts w:cstheme="minorHAnsi"/>
          <w:b/>
          <w:sz w:val="28"/>
          <w:szCs w:val="28"/>
        </w:rPr>
      </w:pPr>
      <w:r>
        <w:rPr>
          <w:rFonts w:cstheme="minorHAnsi"/>
          <w:bCs/>
          <w:sz w:val="28"/>
          <w:szCs w:val="28"/>
        </w:rPr>
        <w:t xml:space="preserve">We’ve exhausted the concept of consent so now we will focus on the search warrant </w:t>
      </w:r>
    </w:p>
    <w:p w14:paraId="31412240" w14:textId="097245D8" w:rsidR="004E7E6C" w:rsidRPr="00852C49" w:rsidRDefault="00852C49" w:rsidP="00852C49">
      <w:pPr>
        <w:pStyle w:val="ListParagraph"/>
        <w:numPr>
          <w:ilvl w:val="0"/>
          <w:numId w:val="5"/>
        </w:numPr>
        <w:spacing w:line="480" w:lineRule="auto"/>
        <w:rPr>
          <w:rFonts w:cstheme="minorHAnsi"/>
          <w:bCs/>
          <w:sz w:val="28"/>
          <w:szCs w:val="28"/>
        </w:rPr>
      </w:pPr>
      <w:r w:rsidRPr="00852C49">
        <w:rPr>
          <w:rFonts w:cstheme="minorHAnsi"/>
          <w:bCs/>
          <w:sz w:val="28"/>
          <w:szCs w:val="28"/>
        </w:rPr>
        <w:t xml:space="preserve">The fact that officers can seek and obtain a search warrant for a blood test in a DUI case even where the defendant has refused to submit to a state-administered test was made clear by the Georgia Supreme Court’s decision in </w:t>
      </w:r>
      <w:r w:rsidRPr="00852C49">
        <w:rPr>
          <w:rFonts w:cstheme="minorHAnsi"/>
          <w:bCs/>
          <w:i/>
          <w:sz w:val="28"/>
          <w:szCs w:val="28"/>
        </w:rPr>
        <w:t>Williams v. State</w:t>
      </w:r>
      <w:r>
        <w:rPr>
          <w:rFonts w:cstheme="minorHAnsi"/>
          <w:bCs/>
          <w:iCs/>
          <w:sz w:val="28"/>
          <w:szCs w:val="28"/>
        </w:rPr>
        <w:t>.</w:t>
      </w:r>
      <w:r>
        <w:rPr>
          <w:rStyle w:val="EndnoteReference"/>
          <w:rFonts w:cstheme="minorHAnsi"/>
          <w:bCs/>
          <w:iCs/>
          <w:szCs w:val="28"/>
        </w:rPr>
        <w:endnoteReference w:id="1"/>
      </w:r>
    </w:p>
    <w:p w14:paraId="28B85FE5" w14:textId="77777777" w:rsidR="00D31CA9" w:rsidRDefault="00852C49" w:rsidP="00A02476">
      <w:pPr>
        <w:pStyle w:val="ListParagraph"/>
        <w:numPr>
          <w:ilvl w:val="1"/>
          <w:numId w:val="5"/>
        </w:numPr>
        <w:spacing w:line="480" w:lineRule="auto"/>
        <w:rPr>
          <w:rFonts w:cstheme="minorHAnsi"/>
          <w:bCs/>
          <w:sz w:val="28"/>
          <w:szCs w:val="28"/>
        </w:rPr>
      </w:pPr>
      <w:r>
        <w:rPr>
          <w:rFonts w:cstheme="minorHAnsi"/>
          <w:bCs/>
          <w:sz w:val="28"/>
          <w:szCs w:val="28"/>
        </w:rPr>
        <w:t>T</w:t>
      </w:r>
      <w:r w:rsidRPr="00852C49">
        <w:rPr>
          <w:rFonts w:cstheme="minorHAnsi"/>
          <w:bCs/>
          <w:sz w:val="28"/>
          <w:szCs w:val="28"/>
        </w:rPr>
        <w:t>here were older Georgia cases which held that if the defendant refused to consent to voluntarily submitting to the state-administered testing, the officer could not then seek a search warrant to obtain the defendant’s blood, breath or urine.</w:t>
      </w:r>
      <w:r w:rsidRPr="00852C49">
        <w:rPr>
          <w:rStyle w:val="EndnoteReference"/>
        </w:rPr>
        <w:endnoteReference w:id="2"/>
      </w:r>
      <w:r w:rsidRPr="00852C49">
        <w:rPr>
          <w:rFonts w:cstheme="minorHAnsi"/>
          <w:bCs/>
          <w:sz w:val="28"/>
          <w:szCs w:val="28"/>
        </w:rPr>
        <w:t xml:space="preserve">  </w:t>
      </w:r>
    </w:p>
    <w:p w14:paraId="71505368" w14:textId="77777777" w:rsidR="00D31CA9" w:rsidRDefault="00852C49" w:rsidP="00D31CA9">
      <w:pPr>
        <w:pStyle w:val="ListParagraph"/>
        <w:numPr>
          <w:ilvl w:val="1"/>
          <w:numId w:val="5"/>
        </w:numPr>
        <w:spacing w:line="480" w:lineRule="auto"/>
        <w:rPr>
          <w:rFonts w:cstheme="minorHAnsi"/>
          <w:bCs/>
          <w:sz w:val="28"/>
          <w:szCs w:val="28"/>
        </w:rPr>
      </w:pPr>
      <w:r w:rsidRPr="00852C49">
        <w:rPr>
          <w:rFonts w:cstheme="minorHAnsi"/>
          <w:bCs/>
          <w:sz w:val="28"/>
          <w:szCs w:val="28"/>
        </w:rPr>
        <w:t>However, the legislature rewrote O.C.G.A. §40-5-67.1 after those cases were decided and specifically included in the redrafted statute a provision that allows law enforcement officers to obtain samples via a search warrant if the driver refuses to submit to the state-administered tests.</w:t>
      </w:r>
      <w:r w:rsidRPr="00D31CA9">
        <w:rPr>
          <w:rStyle w:val="EndnoteReference"/>
        </w:rPr>
        <w:endnoteReference w:id="3"/>
      </w:r>
      <w:r w:rsidRPr="00D31CA9">
        <w:rPr>
          <w:rStyle w:val="EndnoteReference"/>
        </w:rPr>
        <w:t xml:space="preserve"> </w:t>
      </w:r>
      <w:r w:rsidRPr="00852C49">
        <w:rPr>
          <w:rFonts w:cstheme="minorHAnsi"/>
          <w:bCs/>
          <w:sz w:val="28"/>
          <w:szCs w:val="28"/>
        </w:rPr>
        <w:t xml:space="preserve"> </w:t>
      </w:r>
    </w:p>
    <w:p w14:paraId="6643CE26" w14:textId="6CEDBF07" w:rsidR="004E7E6C" w:rsidRDefault="00852C49" w:rsidP="00D31CA9">
      <w:pPr>
        <w:pStyle w:val="ListParagraph"/>
        <w:numPr>
          <w:ilvl w:val="1"/>
          <w:numId w:val="5"/>
        </w:numPr>
        <w:spacing w:line="480" w:lineRule="auto"/>
        <w:rPr>
          <w:rFonts w:cstheme="minorHAnsi"/>
          <w:bCs/>
          <w:sz w:val="28"/>
          <w:szCs w:val="28"/>
        </w:rPr>
      </w:pPr>
      <w:r w:rsidRPr="00852C49">
        <w:rPr>
          <w:rFonts w:cstheme="minorHAnsi"/>
          <w:bCs/>
          <w:sz w:val="28"/>
          <w:szCs w:val="28"/>
        </w:rPr>
        <w:lastRenderedPageBreak/>
        <w:t>There are numerous cases where officers have obtained evidence in a DUI case pursuant to a search warrant.</w:t>
      </w:r>
      <w:r w:rsidRPr="00D31CA9">
        <w:rPr>
          <w:rStyle w:val="EndnoteReference"/>
        </w:rPr>
        <w:endnoteReference w:id="4"/>
      </w:r>
    </w:p>
    <w:p w14:paraId="77C65238" w14:textId="22B3232F" w:rsidR="00A02476" w:rsidRPr="00A02476" w:rsidRDefault="00A02476" w:rsidP="00A02476">
      <w:pPr>
        <w:spacing w:line="480" w:lineRule="auto"/>
        <w:rPr>
          <w:rFonts w:cstheme="minorHAnsi"/>
          <w:bCs/>
          <w:sz w:val="28"/>
          <w:szCs w:val="28"/>
        </w:rPr>
      </w:pPr>
      <w:r>
        <w:rPr>
          <w:rFonts w:cstheme="minorHAnsi"/>
          <w:b/>
          <w:sz w:val="28"/>
          <w:szCs w:val="28"/>
        </w:rPr>
        <w:pict w14:anchorId="52F52C59">
          <v:rect id="_x0000_i1073" style="width:0;height:1.5pt" o:hralign="center" o:hrstd="t" o:hr="t" fillcolor="#a0a0a0" stroked="f"/>
        </w:pict>
      </w:r>
    </w:p>
    <w:p w14:paraId="3F24399D" w14:textId="5D9C9747" w:rsidR="004E7E6C" w:rsidRDefault="00D31CA9" w:rsidP="00313B8E">
      <w:pPr>
        <w:pStyle w:val="ListParagraph"/>
        <w:numPr>
          <w:ilvl w:val="0"/>
          <w:numId w:val="5"/>
        </w:numPr>
        <w:spacing w:line="480" w:lineRule="auto"/>
        <w:rPr>
          <w:rFonts w:cstheme="minorHAnsi"/>
          <w:b/>
          <w:sz w:val="28"/>
          <w:szCs w:val="28"/>
        </w:rPr>
      </w:pPr>
      <w:r>
        <w:rPr>
          <w:rFonts w:cstheme="minorHAnsi"/>
          <w:b/>
          <w:sz w:val="28"/>
          <w:szCs w:val="28"/>
        </w:rPr>
        <w:t>SEARCH WARRANTS IN GENERAL:</w:t>
      </w:r>
    </w:p>
    <w:p w14:paraId="19A80D7E" w14:textId="143F9E36" w:rsidR="00D31CA9" w:rsidRDefault="00D31CA9" w:rsidP="00313B8E">
      <w:pPr>
        <w:pStyle w:val="ListParagraph"/>
        <w:numPr>
          <w:ilvl w:val="0"/>
          <w:numId w:val="5"/>
        </w:numPr>
        <w:spacing w:line="480" w:lineRule="auto"/>
        <w:rPr>
          <w:rFonts w:cstheme="minorHAnsi"/>
          <w:b/>
          <w:sz w:val="28"/>
          <w:szCs w:val="28"/>
        </w:rPr>
      </w:pPr>
      <w:r w:rsidRPr="00D31CA9">
        <w:rPr>
          <w:rFonts w:cstheme="minorHAnsi"/>
          <w:bCs/>
          <w:sz w:val="28"/>
          <w:szCs w:val="28"/>
        </w:rPr>
        <w:t>“[A] search warrant may be issued only upon an affidavit ‘which states facts sufficient to show probable cause that a crime is being committed or has been committed.’ ”</w:t>
      </w:r>
      <w:r w:rsidRPr="00D31CA9">
        <w:rPr>
          <w:rFonts w:cstheme="minorHAnsi"/>
          <w:b/>
          <w:sz w:val="28"/>
          <w:szCs w:val="28"/>
          <w:vertAlign w:val="superscript"/>
        </w:rPr>
        <w:endnoteReference w:id="5"/>
      </w:r>
      <w:r w:rsidRPr="00D31CA9">
        <w:rPr>
          <w:rFonts w:cstheme="minorHAnsi"/>
          <w:b/>
          <w:sz w:val="28"/>
          <w:szCs w:val="28"/>
        </w:rPr>
        <w:t xml:space="preserve">  </w:t>
      </w:r>
    </w:p>
    <w:p w14:paraId="67A52A46" w14:textId="7756CF7A" w:rsidR="00E73CCC" w:rsidRDefault="00E73CCC" w:rsidP="00E73CCC">
      <w:pPr>
        <w:pStyle w:val="ListParagraph"/>
        <w:numPr>
          <w:ilvl w:val="1"/>
          <w:numId w:val="5"/>
        </w:numPr>
        <w:spacing w:line="480" w:lineRule="auto"/>
        <w:rPr>
          <w:rFonts w:cstheme="minorHAnsi"/>
          <w:b/>
          <w:sz w:val="28"/>
          <w:szCs w:val="28"/>
        </w:rPr>
      </w:pPr>
      <w:r>
        <w:rPr>
          <w:rFonts w:cstheme="minorHAnsi"/>
          <w:bCs/>
          <w:sz w:val="28"/>
          <w:szCs w:val="28"/>
        </w:rPr>
        <w:t>“Affidavit” means sworn testimony from law enforcement officer – do not forget to place the officer under oath</w:t>
      </w:r>
    </w:p>
    <w:p w14:paraId="33855608" w14:textId="1B3B54DA" w:rsidR="00D31CA9" w:rsidRDefault="00D31CA9" w:rsidP="00313B8E">
      <w:pPr>
        <w:pStyle w:val="ListParagraph"/>
        <w:numPr>
          <w:ilvl w:val="0"/>
          <w:numId w:val="5"/>
        </w:numPr>
        <w:spacing w:line="480" w:lineRule="auto"/>
        <w:rPr>
          <w:rFonts w:cstheme="minorHAnsi"/>
          <w:bCs/>
          <w:sz w:val="28"/>
          <w:szCs w:val="28"/>
        </w:rPr>
      </w:pPr>
      <w:r>
        <w:rPr>
          <w:rFonts w:cstheme="minorHAnsi"/>
          <w:bCs/>
          <w:sz w:val="28"/>
          <w:szCs w:val="28"/>
        </w:rPr>
        <w:t>I</w:t>
      </w:r>
      <w:r w:rsidRPr="00D31CA9">
        <w:rPr>
          <w:rFonts w:cstheme="minorHAnsi"/>
          <w:bCs/>
          <w:sz w:val="28"/>
          <w:szCs w:val="28"/>
        </w:rPr>
        <w:t xml:space="preserve">t is important to remember that the judge only has the right to allow for a “search” of people or places that are located within the probate judge’s </w:t>
      </w:r>
      <w:r w:rsidR="00E73CCC">
        <w:rPr>
          <w:rFonts w:cstheme="minorHAnsi"/>
          <w:bCs/>
          <w:sz w:val="28"/>
          <w:szCs w:val="28"/>
        </w:rPr>
        <w:t>jurisdiction</w:t>
      </w:r>
      <w:r w:rsidRPr="00D31CA9">
        <w:rPr>
          <w:rFonts w:cstheme="minorHAnsi"/>
          <w:bCs/>
          <w:sz w:val="28"/>
          <w:szCs w:val="28"/>
        </w:rPr>
        <w:t>.</w:t>
      </w:r>
      <w:r w:rsidR="00E73CCC">
        <w:rPr>
          <w:rStyle w:val="EndnoteReference"/>
          <w:rFonts w:cstheme="minorHAnsi"/>
          <w:bCs/>
          <w:szCs w:val="28"/>
        </w:rPr>
        <w:endnoteReference w:id="6"/>
      </w:r>
      <w:r w:rsidRPr="00D31CA9">
        <w:rPr>
          <w:rFonts w:cstheme="minorHAnsi"/>
          <w:bCs/>
          <w:sz w:val="28"/>
          <w:szCs w:val="28"/>
        </w:rPr>
        <w:t xml:space="preserve">  </w:t>
      </w:r>
    </w:p>
    <w:p w14:paraId="12EB3164" w14:textId="6EED7806" w:rsidR="00D31CA9" w:rsidRDefault="00D31CA9" w:rsidP="00D31CA9">
      <w:pPr>
        <w:pStyle w:val="ListParagraph"/>
        <w:numPr>
          <w:ilvl w:val="1"/>
          <w:numId w:val="5"/>
        </w:numPr>
        <w:spacing w:line="480" w:lineRule="auto"/>
        <w:rPr>
          <w:rFonts w:cstheme="minorHAnsi"/>
          <w:bCs/>
          <w:sz w:val="28"/>
          <w:szCs w:val="28"/>
        </w:rPr>
      </w:pPr>
      <w:r w:rsidRPr="00D31CA9">
        <w:rPr>
          <w:rFonts w:cstheme="minorHAnsi"/>
          <w:bCs/>
          <w:sz w:val="28"/>
          <w:szCs w:val="28"/>
        </w:rPr>
        <w:t>If the defendant is in the hospital in another county, the judge of that county would be required to consider the search warrant application because the person to be searched could be found within that county.</w:t>
      </w:r>
    </w:p>
    <w:p w14:paraId="6FEF66AB" w14:textId="516DC287" w:rsidR="00F11E23" w:rsidRDefault="00F11E23" w:rsidP="001B2A33">
      <w:pPr>
        <w:pStyle w:val="ListParagraph"/>
        <w:numPr>
          <w:ilvl w:val="0"/>
          <w:numId w:val="5"/>
        </w:numPr>
        <w:spacing w:line="480" w:lineRule="auto"/>
        <w:rPr>
          <w:rFonts w:cstheme="minorHAnsi"/>
          <w:bCs/>
          <w:sz w:val="28"/>
          <w:szCs w:val="28"/>
        </w:rPr>
      </w:pPr>
      <w:r>
        <w:rPr>
          <w:rFonts w:cstheme="minorHAnsi"/>
          <w:bCs/>
          <w:sz w:val="28"/>
          <w:szCs w:val="28"/>
        </w:rPr>
        <w:t>“A search warrant will only issue upon facts sufficient to show probable cause that a crime is being committed or has been committed.</w:t>
      </w:r>
      <w:r>
        <w:rPr>
          <w:rStyle w:val="EndnoteReference"/>
          <w:rFonts w:cstheme="minorHAnsi"/>
          <w:bCs/>
          <w:szCs w:val="28"/>
        </w:rPr>
        <w:endnoteReference w:id="7"/>
      </w:r>
    </w:p>
    <w:p w14:paraId="7ACC970C" w14:textId="4169735A" w:rsidR="00F11E23" w:rsidRDefault="00F11E23" w:rsidP="00F11E23">
      <w:pPr>
        <w:pStyle w:val="ListParagraph"/>
        <w:numPr>
          <w:ilvl w:val="1"/>
          <w:numId w:val="5"/>
        </w:numPr>
        <w:spacing w:line="480" w:lineRule="auto"/>
        <w:rPr>
          <w:rFonts w:cstheme="minorHAnsi"/>
          <w:bCs/>
          <w:sz w:val="28"/>
          <w:szCs w:val="28"/>
        </w:rPr>
      </w:pPr>
      <w:r>
        <w:rPr>
          <w:rFonts w:cstheme="minorHAnsi"/>
          <w:bCs/>
          <w:sz w:val="28"/>
          <w:szCs w:val="28"/>
        </w:rPr>
        <w:t>The judge’s task in determining whether probable cause exists to issue a search warrant is “simply to make a practical, common-sense decision</w:t>
      </w:r>
      <w:r w:rsidR="00F74EB0">
        <w:rPr>
          <w:rFonts w:cstheme="minorHAnsi"/>
          <w:bCs/>
          <w:sz w:val="28"/>
          <w:szCs w:val="28"/>
        </w:rPr>
        <w:t xml:space="preserve"> </w:t>
      </w:r>
      <w:r>
        <w:rPr>
          <w:rFonts w:cstheme="minorHAnsi"/>
          <w:bCs/>
          <w:sz w:val="28"/>
          <w:szCs w:val="28"/>
        </w:rPr>
        <w:t xml:space="preserve"> </w:t>
      </w:r>
      <w:r w:rsidR="00F74EB0">
        <w:rPr>
          <w:rFonts w:cstheme="minorHAnsi"/>
          <w:bCs/>
          <w:sz w:val="28"/>
          <w:szCs w:val="28"/>
        </w:rPr>
        <w:lastRenderedPageBreak/>
        <w:t>whether, given all of the circumstances set forth in the affidavit before him, including the “veracity” and “basis of knowledge” of persons supplying hearsay information, there is a fair probability that contraband or evidence of a crime will be found in a particular place.”</w:t>
      </w:r>
      <w:r w:rsidR="00F74EB0">
        <w:rPr>
          <w:rStyle w:val="EndnoteReference"/>
          <w:rFonts w:cstheme="minorHAnsi"/>
          <w:bCs/>
          <w:szCs w:val="28"/>
        </w:rPr>
        <w:endnoteReference w:id="8"/>
      </w:r>
    </w:p>
    <w:p w14:paraId="057B2050" w14:textId="75747044" w:rsidR="00F74EB0" w:rsidRPr="00F11E23" w:rsidRDefault="00F74EB0" w:rsidP="00F11E23">
      <w:pPr>
        <w:pStyle w:val="ListParagraph"/>
        <w:numPr>
          <w:ilvl w:val="1"/>
          <w:numId w:val="5"/>
        </w:numPr>
        <w:spacing w:line="480" w:lineRule="auto"/>
        <w:rPr>
          <w:rFonts w:cstheme="minorHAnsi"/>
          <w:bCs/>
          <w:sz w:val="28"/>
          <w:szCs w:val="28"/>
        </w:rPr>
      </w:pPr>
      <w:r>
        <w:rPr>
          <w:rFonts w:cstheme="minorHAnsi"/>
          <w:bCs/>
          <w:sz w:val="28"/>
          <w:szCs w:val="28"/>
        </w:rPr>
        <w:t>Appellate review is deferential to the issuing judge’s judgement and must consider the totality of the circumstances.</w:t>
      </w:r>
      <w:r>
        <w:rPr>
          <w:rStyle w:val="EndnoteReference"/>
          <w:rFonts w:cstheme="minorHAnsi"/>
          <w:bCs/>
          <w:szCs w:val="28"/>
        </w:rPr>
        <w:endnoteReference w:id="9"/>
      </w:r>
    </w:p>
    <w:p w14:paraId="56D8C659" w14:textId="4B64AA8B" w:rsidR="001B2A33" w:rsidRPr="001B2A33" w:rsidRDefault="001B2A33" w:rsidP="001B2A33">
      <w:pPr>
        <w:pStyle w:val="ListParagraph"/>
        <w:numPr>
          <w:ilvl w:val="0"/>
          <w:numId w:val="5"/>
        </w:numPr>
        <w:spacing w:line="480" w:lineRule="auto"/>
        <w:rPr>
          <w:rFonts w:cstheme="minorHAnsi"/>
          <w:bCs/>
          <w:sz w:val="28"/>
          <w:szCs w:val="28"/>
        </w:rPr>
      </w:pPr>
      <w:r>
        <w:rPr>
          <w:rFonts w:eastAsia="Times New Roman"/>
          <w:sz w:val="28"/>
          <w:szCs w:val="28"/>
        </w:rPr>
        <w:t>T</w:t>
      </w:r>
      <w:r w:rsidRPr="001B2A33">
        <w:rPr>
          <w:rFonts w:eastAsia="Times New Roman"/>
          <w:sz w:val="28"/>
          <w:szCs w:val="28"/>
        </w:rPr>
        <w:t xml:space="preserve">he search warrant application </w:t>
      </w:r>
      <w:r>
        <w:rPr>
          <w:rFonts w:eastAsia="Times New Roman"/>
          <w:sz w:val="28"/>
          <w:szCs w:val="28"/>
        </w:rPr>
        <w:t xml:space="preserve">must be </w:t>
      </w:r>
      <w:r w:rsidRPr="001B2A33">
        <w:rPr>
          <w:rFonts w:eastAsia="Times New Roman"/>
          <w:sz w:val="28"/>
          <w:szCs w:val="28"/>
        </w:rPr>
        <w:t xml:space="preserve">made by a law enforcement officer.  </w:t>
      </w:r>
    </w:p>
    <w:p w14:paraId="27227791" w14:textId="1E27FDC8" w:rsidR="001B2A33" w:rsidRPr="000F22FA" w:rsidRDefault="001B2A33" w:rsidP="001B2A33">
      <w:pPr>
        <w:pStyle w:val="ListParagraph"/>
        <w:numPr>
          <w:ilvl w:val="0"/>
          <w:numId w:val="5"/>
        </w:numPr>
        <w:spacing w:line="480" w:lineRule="auto"/>
        <w:rPr>
          <w:rFonts w:cstheme="minorHAnsi"/>
          <w:bCs/>
          <w:sz w:val="28"/>
          <w:szCs w:val="28"/>
        </w:rPr>
      </w:pPr>
      <w:r w:rsidRPr="001B2A33">
        <w:rPr>
          <w:rFonts w:eastAsia="Times New Roman"/>
          <w:sz w:val="28"/>
          <w:szCs w:val="28"/>
        </w:rPr>
        <w:t>It is acceptable for the warrant application to contain “hearsay” from another officer.</w:t>
      </w:r>
    </w:p>
    <w:p w14:paraId="2CD1F926" w14:textId="77777777" w:rsidR="000F22FA" w:rsidRDefault="000F22FA" w:rsidP="001B2A33">
      <w:pPr>
        <w:pStyle w:val="ListParagraph"/>
        <w:numPr>
          <w:ilvl w:val="0"/>
          <w:numId w:val="5"/>
        </w:numPr>
        <w:spacing w:line="480" w:lineRule="auto"/>
        <w:rPr>
          <w:rFonts w:cstheme="minorHAnsi"/>
          <w:bCs/>
          <w:sz w:val="28"/>
          <w:szCs w:val="28"/>
        </w:rPr>
      </w:pPr>
      <w:r w:rsidRPr="000F22FA">
        <w:rPr>
          <w:rFonts w:cstheme="minorHAnsi"/>
          <w:bCs/>
          <w:sz w:val="28"/>
          <w:szCs w:val="28"/>
        </w:rPr>
        <w:t>The search warrant may be supplemented by oral testimony.</w:t>
      </w:r>
      <w:r w:rsidRPr="000F22FA">
        <w:rPr>
          <w:rFonts w:cstheme="minorHAnsi"/>
          <w:b/>
          <w:bCs/>
          <w:sz w:val="28"/>
          <w:szCs w:val="28"/>
          <w:vertAlign w:val="superscript"/>
        </w:rPr>
        <w:endnoteReference w:id="10"/>
      </w:r>
      <w:r w:rsidRPr="000F22FA">
        <w:rPr>
          <w:rFonts w:cstheme="minorHAnsi"/>
          <w:bCs/>
          <w:sz w:val="28"/>
          <w:szCs w:val="28"/>
        </w:rPr>
        <w:t xml:space="preserve">  </w:t>
      </w:r>
    </w:p>
    <w:p w14:paraId="2CA31DB8" w14:textId="77777777" w:rsidR="000F22FA" w:rsidRDefault="000F22FA" w:rsidP="001B2A33">
      <w:pPr>
        <w:pStyle w:val="ListParagraph"/>
        <w:numPr>
          <w:ilvl w:val="0"/>
          <w:numId w:val="5"/>
        </w:numPr>
        <w:spacing w:line="480" w:lineRule="auto"/>
        <w:rPr>
          <w:rFonts w:cstheme="minorHAnsi"/>
          <w:bCs/>
          <w:sz w:val="28"/>
          <w:szCs w:val="28"/>
        </w:rPr>
      </w:pPr>
      <w:r w:rsidRPr="000F22FA">
        <w:rPr>
          <w:rFonts w:cstheme="minorHAnsi"/>
          <w:bCs/>
          <w:sz w:val="28"/>
          <w:szCs w:val="28"/>
        </w:rPr>
        <w:t xml:space="preserve">There must be a written affidavit that is signed by the officer. </w:t>
      </w:r>
    </w:p>
    <w:p w14:paraId="3F1170BF" w14:textId="77777777" w:rsidR="000F22FA" w:rsidRDefault="000F22FA" w:rsidP="000F22FA">
      <w:pPr>
        <w:pStyle w:val="ListParagraph"/>
        <w:numPr>
          <w:ilvl w:val="1"/>
          <w:numId w:val="5"/>
        </w:numPr>
        <w:spacing w:line="480" w:lineRule="auto"/>
        <w:rPr>
          <w:rFonts w:cstheme="minorHAnsi"/>
          <w:bCs/>
          <w:sz w:val="28"/>
          <w:szCs w:val="28"/>
        </w:rPr>
      </w:pPr>
      <w:r w:rsidRPr="000F22FA">
        <w:rPr>
          <w:rFonts w:cstheme="minorHAnsi"/>
          <w:bCs/>
          <w:sz w:val="28"/>
          <w:szCs w:val="28"/>
        </w:rPr>
        <w:t>“Although the better practice would be for an issuing magistrate to make a written notation of sworn oral testimony presented in support of a search warrant, it is well established that ‘there is “no requirement in the law of Georgia that requires rather than suggests that a magistrate court warrant hearing be recorded.” [Cit.]’ Likewise, nothing requires the magistrate to make some contemporaneous notation of the fact that he relied on sworn oral testimony.”</w:t>
      </w:r>
      <w:r w:rsidRPr="000F22FA">
        <w:rPr>
          <w:rFonts w:cstheme="minorHAnsi"/>
          <w:b/>
          <w:bCs/>
          <w:sz w:val="28"/>
          <w:szCs w:val="28"/>
          <w:vertAlign w:val="superscript"/>
        </w:rPr>
        <w:endnoteReference w:id="11"/>
      </w:r>
      <w:r w:rsidRPr="000F22FA">
        <w:rPr>
          <w:rFonts w:cstheme="minorHAnsi"/>
          <w:bCs/>
          <w:sz w:val="28"/>
          <w:szCs w:val="28"/>
        </w:rPr>
        <w:t xml:space="preserve"> </w:t>
      </w:r>
    </w:p>
    <w:p w14:paraId="21AD1CA5" w14:textId="71283E34" w:rsidR="000F22FA" w:rsidRDefault="000F22FA" w:rsidP="000F22FA">
      <w:pPr>
        <w:pStyle w:val="ListParagraph"/>
        <w:numPr>
          <w:ilvl w:val="0"/>
          <w:numId w:val="5"/>
        </w:numPr>
        <w:spacing w:line="480" w:lineRule="auto"/>
        <w:rPr>
          <w:rFonts w:cstheme="minorHAnsi"/>
          <w:bCs/>
          <w:sz w:val="28"/>
          <w:szCs w:val="28"/>
        </w:rPr>
      </w:pPr>
      <w:r w:rsidRPr="000F22FA">
        <w:rPr>
          <w:rFonts w:cstheme="minorHAnsi"/>
          <w:bCs/>
          <w:sz w:val="28"/>
          <w:szCs w:val="28"/>
        </w:rPr>
        <w:lastRenderedPageBreak/>
        <w:t xml:space="preserve">If </w:t>
      </w:r>
      <w:r>
        <w:rPr>
          <w:rFonts w:cstheme="minorHAnsi"/>
          <w:bCs/>
          <w:sz w:val="28"/>
          <w:szCs w:val="28"/>
        </w:rPr>
        <w:t>the</w:t>
      </w:r>
      <w:r w:rsidRPr="000F22FA">
        <w:rPr>
          <w:rFonts w:cstheme="minorHAnsi"/>
          <w:bCs/>
          <w:sz w:val="28"/>
          <w:szCs w:val="28"/>
        </w:rPr>
        <w:t xml:space="preserve"> search warrant application</w:t>
      </w:r>
      <w:r>
        <w:rPr>
          <w:rFonts w:cstheme="minorHAnsi"/>
          <w:bCs/>
          <w:sz w:val="28"/>
          <w:szCs w:val="28"/>
        </w:rPr>
        <w:t xml:space="preserve"> is received</w:t>
      </w:r>
      <w:r w:rsidRPr="000F22FA">
        <w:rPr>
          <w:rFonts w:cstheme="minorHAnsi"/>
          <w:bCs/>
          <w:sz w:val="28"/>
          <w:szCs w:val="28"/>
        </w:rPr>
        <w:t xml:space="preserve"> via video conferencing, that exchange must be recorded.</w:t>
      </w:r>
      <w:r w:rsidRPr="000F22FA">
        <w:rPr>
          <w:rFonts w:cstheme="minorHAnsi"/>
          <w:b/>
          <w:bCs/>
          <w:sz w:val="28"/>
          <w:szCs w:val="28"/>
          <w:vertAlign w:val="superscript"/>
        </w:rPr>
        <w:endnoteReference w:id="12"/>
      </w:r>
    </w:p>
    <w:p w14:paraId="16D551C4" w14:textId="4E941316" w:rsidR="000F22FA" w:rsidRDefault="000F22FA" w:rsidP="001B2A33">
      <w:pPr>
        <w:pStyle w:val="ListParagraph"/>
        <w:numPr>
          <w:ilvl w:val="0"/>
          <w:numId w:val="5"/>
        </w:numPr>
        <w:spacing w:line="480" w:lineRule="auto"/>
        <w:rPr>
          <w:rFonts w:cstheme="minorHAnsi"/>
          <w:bCs/>
          <w:sz w:val="28"/>
          <w:szCs w:val="28"/>
        </w:rPr>
      </w:pPr>
      <w:r w:rsidRPr="000F22FA">
        <w:rPr>
          <w:rFonts w:cstheme="minorHAnsi"/>
          <w:bCs/>
          <w:sz w:val="28"/>
          <w:szCs w:val="28"/>
        </w:rPr>
        <w:t xml:space="preserve">See O.C.G.A. § 17-5-22 relating to the fact that any search warrant issued must include date and time of issuance and the officer should promptly file a return to the search warrant.  </w:t>
      </w:r>
    </w:p>
    <w:p w14:paraId="7F3FB2BA" w14:textId="720BAF29" w:rsidR="000F22FA" w:rsidRDefault="000F22FA" w:rsidP="001B2A33">
      <w:pPr>
        <w:pStyle w:val="ListParagraph"/>
        <w:numPr>
          <w:ilvl w:val="0"/>
          <w:numId w:val="5"/>
        </w:numPr>
        <w:spacing w:line="480" w:lineRule="auto"/>
        <w:rPr>
          <w:rFonts w:cstheme="minorHAnsi"/>
          <w:bCs/>
          <w:sz w:val="28"/>
          <w:szCs w:val="28"/>
        </w:rPr>
      </w:pPr>
      <w:r w:rsidRPr="000F22FA">
        <w:rPr>
          <w:rFonts w:cstheme="minorHAnsi"/>
          <w:bCs/>
          <w:sz w:val="28"/>
          <w:szCs w:val="28"/>
        </w:rPr>
        <w:t>A docket must be maintained that reflects the issuance and returns of search warrants under § 17-5-22</w:t>
      </w:r>
    </w:p>
    <w:p w14:paraId="454B9AA6" w14:textId="58C98C15" w:rsidR="00A02476" w:rsidRPr="00A02476" w:rsidRDefault="00A02476" w:rsidP="00A02476">
      <w:pPr>
        <w:spacing w:line="480" w:lineRule="auto"/>
        <w:rPr>
          <w:rFonts w:cstheme="minorHAnsi"/>
          <w:bCs/>
          <w:sz w:val="28"/>
          <w:szCs w:val="28"/>
        </w:rPr>
      </w:pPr>
      <w:r>
        <w:rPr>
          <w:rFonts w:cstheme="minorHAnsi"/>
          <w:b/>
          <w:sz w:val="28"/>
          <w:szCs w:val="28"/>
        </w:rPr>
        <w:pict w14:anchorId="3C0CF96D">
          <v:rect id="_x0000_i1070" style="width:0;height:1.5pt" o:hralign="center" o:hrstd="t" o:hr="t" fillcolor="#a0a0a0" stroked="f"/>
        </w:pict>
      </w:r>
    </w:p>
    <w:p w14:paraId="138CA69C" w14:textId="77777777" w:rsidR="00A02476" w:rsidRPr="00A02476" w:rsidRDefault="00A02476" w:rsidP="001B2A33">
      <w:pPr>
        <w:pStyle w:val="ListParagraph"/>
        <w:numPr>
          <w:ilvl w:val="0"/>
          <w:numId w:val="5"/>
        </w:numPr>
        <w:spacing w:line="480" w:lineRule="auto"/>
        <w:rPr>
          <w:rFonts w:cstheme="minorHAnsi"/>
          <w:bCs/>
          <w:sz w:val="28"/>
          <w:szCs w:val="28"/>
        </w:rPr>
      </w:pPr>
      <w:r>
        <w:rPr>
          <w:rFonts w:cstheme="minorHAnsi"/>
          <w:b/>
          <w:sz w:val="28"/>
          <w:szCs w:val="28"/>
        </w:rPr>
        <w:t>JUDGE WHO ISSUES THE SEARCH WARRANT IS NOT PROHIBITED FROM PRESIDING OVER RESULTING LITIGATION</w:t>
      </w:r>
    </w:p>
    <w:p w14:paraId="7AE53DC0" w14:textId="7B840A50" w:rsidR="00B353E8" w:rsidRDefault="00B353E8" w:rsidP="001B2A33">
      <w:pPr>
        <w:pStyle w:val="ListParagraph"/>
        <w:numPr>
          <w:ilvl w:val="0"/>
          <w:numId w:val="5"/>
        </w:numPr>
        <w:spacing w:line="480" w:lineRule="auto"/>
        <w:rPr>
          <w:rFonts w:cstheme="minorHAnsi"/>
          <w:bCs/>
          <w:sz w:val="28"/>
          <w:szCs w:val="28"/>
        </w:rPr>
      </w:pPr>
      <w:r>
        <w:rPr>
          <w:rFonts w:cstheme="minorHAnsi"/>
          <w:bCs/>
          <w:sz w:val="28"/>
          <w:szCs w:val="28"/>
        </w:rPr>
        <w:t>The judge who issues the search warrant is not precluded from hearing the resulting motion/trial.</w:t>
      </w:r>
      <w:r>
        <w:rPr>
          <w:rStyle w:val="EndnoteReference"/>
          <w:rFonts w:cstheme="minorHAnsi"/>
          <w:bCs/>
          <w:szCs w:val="28"/>
        </w:rPr>
        <w:endnoteReference w:id="13"/>
      </w:r>
    </w:p>
    <w:p w14:paraId="5281A741" w14:textId="77777777" w:rsidR="00B353E8" w:rsidRDefault="00B353E8" w:rsidP="00B353E8">
      <w:pPr>
        <w:pStyle w:val="ListParagraph"/>
        <w:numPr>
          <w:ilvl w:val="1"/>
          <w:numId w:val="5"/>
        </w:numPr>
        <w:spacing w:line="480" w:lineRule="auto"/>
        <w:rPr>
          <w:rFonts w:cstheme="minorHAnsi"/>
          <w:bCs/>
          <w:sz w:val="28"/>
          <w:szCs w:val="28"/>
        </w:rPr>
      </w:pPr>
      <w:r w:rsidRPr="00B353E8">
        <w:rPr>
          <w:rFonts w:cstheme="minorHAnsi"/>
          <w:bCs/>
          <w:sz w:val="28"/>
          <w:szCs w:val="28"/>
        </w:rPr>
        <w:t xml:space="preserve">If that logic would justify recusal of a judge, any judge who made a temporary ruling in a case, a bond decision, or other judicial decision could be recused from hearing the eventual trial.  </w:t>
      </w:r>
    </w:p>
    <w:p w14:paraId="65B76F1B" w14:textId="77777777" w:rsidR="00B353E8" w:rsidRDefault="00B353E8" w:rsidP="00B353E8">
      <w:pPr>
        <w:pStyle w:val="ListParagraph"/>
        <w:numPr>
          <w:ilvl w:val="1"/>
          <w:numId w:val="5"/>
        </w:numPr>
        <w:spacing w:line="480" w:lineRule="auto"/>
        <w:rPr>
          <w:rFonts w:cstheme="minorHAnsi"/>
          <w:bCs/>
          <w:sz w:val="28"/>
          <w:szCs w:val="28"/>
        </w:rPr>
      </w:pPr>
      <w:r w:rsidRPr="00B353E8">
        <w:rPr>
          <w:rFonts w:cstheme="minorHAnsi"/>
          <w:bCs/>
          <w:sz w:val="28"/>
          <w:szCs w:val="28"/>
        </w:rPr>
        <w:t xml:space="preserve">To allow that process to occur would essentially endorse the prohibited act of “judge shopping.”  </w:t>
      </w:r>
    </w:p>
    <w:p w14:paraId="4EE0A98D" w14:textId="736D14BB" w:rsidR="00B353E8" w:rsidRDefault="00B353E8" w:rsidP="00B353E8">
      <w:pPr>
        <w:pStyle w:val="ListParagraph"/>
        <w:numPr>
          <w:ilvl w:val="1"/>
          <w:numId w:val="5"/>
        </w:numPr>
        <w:spacing w:line="480" w:lineRule="auto"/>
        <w:rPr>
          <w:rFonts w:cstheme="minorHAnsi"/>
          <w:bCs/>
          <w:sz w:val="28"/>
          <w:szCs w:val="28"/>
        </w:rPr>
      </w:pPr>
      <w:r w:rsidRPr="00B353E8">
        <w:rPr>
          <w:rFonts w:cstheme="minorHAnsi"/>
          <w:bCs/>
          <w:sz w:val="28"/>
          <w:szCs w:val="28"/>
        </w:rPr>
        <w:lastRenderedPageBreak/>
        <w:t>“[T]he fact that the judge has sat on prior cases of the party or ruled on prior matters in the case before the judge is legally insufficient as a ground for recusal.”</w:t>
      </w:r>
      <w:r w:rsidRPr="00B353E8">
        <w:rPr>
          <w:rFonts w:cstheme="minorHAnsi"/>
          <w:b/>
          <w:bCs/>
          <w:sz w:val="28"/>
          <w:szCs w:val="28"/>
          <w:vertAlign w:val="superscript"/>
        </w:rPr>
        <w:endnoteReference w:id="14"/>
      </w:r>
    </w:p>
    <w:p w14:paraId="3AC13A54" w14:textId="15E078C7" w:rsidR="00B353E8" w:rsidRDefault="00B353E8" w:rsidP="00B353E8">
      <w:pPr>
        <w:pStyle w:val="ListParagraph"/>
        <w:numPr>
          <w:ilvl w:val="1"/>
          <w:numId w:val="5"/>
        </w:numPr>
        <w:spacing w:line="480" w:lineRule="auto"/>
        <w:rPr>
          <w:rFonts w:cstheme="minorHAnsi"/>
          <w:bCs/>
          <w:sz w:val="28"/>
          <w:szCs w:val="28"/>
        </w:rPr>
      </w:pPr>
      <w:r>
        <w:rPr>
          <w:rFonts w:cstheme="minorHAnsi"/>
          <w:bCs/>
          <w:sz w:val="28"/>
          <w:szCs w:val="28"/>
        </w:rPr>
        <w:t xml:space="preserve">A party could attempt to call the judge as a witness in the resulting motion or trial.  </w:t>
      </w:r>
      <w:r w:rsidRPr="00B353E8">
        <w:rPr>
          <w:rFonts w:cstheme="minorHAnsi"/>
          <w:bCs/>
          <w:sz w:val="28"/>
          <w:szCs w:val="28"/>
        </w:rPr>
        <w:t>“However, a party cannot call a trial judge as a witness and cause a recusal, where either: (1) the judge was not an eyewitness; (2) the factual issue is not a legal ground for recusal, although not so ruled by the trial judge; or (3) there exists other available witnesses to prove the facts in issue other than the trial judge.”</w:t>
      </w:r>
      <w:r w:rsidRPr="00B353E8">
        <w:rPr>
          <w:rFonts w:cstheme="minorHAnsi"/>
          <w:b/>
          <w:bCs/>
          <w:sz w:val="28"/>
          <w:szCs w:val="28"/>
          <w:vertAlign w:val="superscript"/>
        </w:rPr>
        <w:endnoteReference w:id="15"/>
      </w:r>
    </w:p>
    <w:p w14:paraId="5F86366B" w14:textId="39DCE2A9" w:rsidR="00A02476" w:rsidRPr="00A02476" w:rsidRDefault="00A02476" w:rsidP="00A02476">
      <w:pPr>
        <w:spacing w:line="480" w:lineRule="auto"/>
        <w:rPr>
          <w:rFonts w:cstheme="minorHAnsi"/>
          <w:bCs/>
          <w:sz w:val="28"/>
          <w:szCs w:val="28"/>
        </w:rPr>
      </w:pPr>
      <w:r>
        <w:rPr>
          <w:rFonts w:cstheme="minorHAnsi"/>
          <w:b/>
          <w:sz w:val="28"/>
          <w:szCs w:val="28"/>
        </w:rPr>
        <w:pict w14:anchorId="01F89E48">
          <v:rect id="_x0000_i1071" style="width:0;height:1.5pt" o:hralign="center" o:hrstd="t" o:hr="t" fillcolor="#a0a0a0" stroked="f"/>
        </w:pict>
      </w:r>
    </w:p>
    <w:p w14:paraId="2B6BB552" w14:textId="77777777" w:rsidR="000F22FA" w:rsidRDefault="000F22FA" w:rsidP="00313B8E">
      <w:pPr>
        <w:pStyle w:val="ListParagraph"/>
        <w:numPr>
          <w:ilvl w:val="0"/>
          <w:numId w:val="5"/>
        </w:numPr>
        <w:spacing w:line="480" w:lineRule="auto"/>
        <w:rPr>
          <w:rFonts w:cstheme="minorHAnsi"/>
          <w:b/>
          <w:sz w:val="28"/>
          <w:szCs w:val="28"/>
        </w:rPr>
      </w:pPr>
      <w:r>
        <w:rPr>
          <w:rFonts w:cstheme="minorHAnsi"/>
          <w:b/>
          <w:sz w:val="28"/>
          <w:szCs w:val="28"/>
        </w:rPr>
        <w:t xml:space="preserve">DUI SEARCH WARRANTS: </w:t>
      </w:r>
    </w:p>
    <w:p w14:paraId="4EA2F750" w14:textId="251AE9CD" w:rsidR="001B2A33" w:rsidRPr="00E300D2" w:rsidRDefault="001B2A33" w:rsidP="00E300D2">
      <w:pPr>
        <w:pStyle w:val="ListParagraph"/>
        <w:numPr>
          <w:ilvl w:val="0"/>
          <w:numId w:val="5"/>
        </w:numPr>
        <w:spacing w:line="480" w:lineRule="auto"/>
        <w:rPr>
          <w:rFonts w:cstheme="minorHAnsi"/>
          <w:b/>
          <w:sz w:val="28"/>
          <w:szCs w:val="28"/>
        </w:rPr>
      </w:pPr>
      <w:r w:rsidRPr="001B2A33">
        <w:rPr>
          <w:rFonts w:cstheme="minorHAnsi"/>
          <w:bCs/>
          <w:sz w:val="28"/>
          <w:szCs w:val="28"/>
        </w:rPr>
        <w:t>The “four corners” of the search warrant application should establish</w:t>
      </w:r>
      <w:r w:rsidR="00A02476">
        <w:rPr>
          <w:rFonts w:cstheme="minorHAnsi"/>
          <w:bCs/>
          <w:sz w:val="28"/>
          <w:szCs w:val="28"/>
        </w:rPr>
        <w:t xml:space="preserve"> (minimum)</w:t>
      </w:r>
      <w:r w:rsidRPr="001B2A33">
        <w:rPr>
          <w:rFonts w:cstheme="minorHAnsi"/>
          <w:bCs/>
          <w:sz w:val="28"/>
          <w:szCs w:val="28"/>
        </w:rPr>
        <w:t xml:space="preserve">: 1) the defendant was driving or in actual physical control of a motor vehicle; 2) in your county; 3) while under the influence of </w:t>
      </w:r>
      <w:r w:rsidRPr="001B2A33">
        <w:rPr>
          <w:rFonts w:cstheme="minorHAnsi"/>
          <w:bCs/>
          <w:sz w:val="28"/>
          <w:szCs w:val="28"/>
          <w:u w:val="single"/>
        </w:rPr>
        <w:t>(list the alleged intoxicant)</w:t>
      </w:r>
      <w:r w:rsidRPr="001B2A33">
        <w:rPr>
          <w:rFonts w:cstheme="minorHAnsi"/>
          <w:bCs/>
          <w:sz w:val="28"/>
          <w:szCs w:val="28"/>
        </w:rPr>
        <w:t xml:space="preserve"> to the extent that the driver was a less safe driver.</w:t>
      </w:r>
      <w:r w:rsidRPr="001B2A33">
        <w:rPr>
          <w:rFonts w:cstheme="minorHAnsi"/>
          <w:b/>
          <w:sz w:val="28"/>
          <w:szCs w:val="28"/>
          <w:vertAlign w:val="superscript"/>
        </w:rPr>
        <w:endnoteReference w:id="16"/>
      </w:r>
    </w:p>
    <w:p w14:paraId="67CB6A33" w14:textId="77777777" w:rsidR="001B2A33" w:rsidRDefault="001B2A33" w:rsidP="00313B8E">
      <w:pPr>
        <w:pStyle w:val="ListParagraph"/>
        <w:numPr>
          <w:ilvl w:val="0"/>
          <w:numId w:val="5"/>
        </w:numPr>
        <w:spacing w:line="480" w:lineRule="auto"/>
        <w:rPr>
          <w:rFonts w:cstheme="minorHAnsi"/>
          <w:bCs/>
          <w:sz w:val="28"/>
          <w:szCs w:val="28"/>
        </w:rPr>
      </w:pPr>
      <w:r>
        <w:rPr>
          <w:rFonts w:cstheme="minorHAnsi"/>
          <w:bCs/>
          <w:sz w:val="28"/>
          <w:szCs w:val="28"/>
        </w:rPr>
        <w:t>T</w:t>
      </w:r>
      <w:r w:rsidRPr="001B2A33">
        <w:rPr>
          <w:rFonts w:cstheme="minorHAnsi"/>
          <w:bCs/>
          <w:sz w:val="28"/>
          <w:szCs w:val="28"/>
        </w:rPr>
        <w:t xml:space="preserve">he </w:t>
      </w:r>
      <w:r>
        <w:rPr>
          <w:rFonts w:cstheme="minorHAnsi"/>
          <w:bCs/>
          <w:sz w:val="28"/>
          <w:szCs w:val="28"/>
        </w:rPr>
        <w:t>warrant affidavit should</w:t>
      </w:r>
      <w:r w:rsidRPr="001B2A33">
        <w:rPr>
          <w:rFonts w:cstheme="minorHAnsi"/>
          <w:bCs/>
          <w:sz w:val="28"/>
          <w:szCs w:val="28"/>
        </w:rPr>
        <w:t xml:space="preserve"> include the reasons for the traffic stop, specific findings of the officer relating to SFST’s and the issues that are regularly included in a DUI report from an officer.  </w:t>
      </w:r>
    </w:p>
    <w:p w14:paraId="7AE075BB" w14:textId="2F9F8049" w:rsidR="001B2A33" w:rsidRPr="001B2A33" w:rsidRDefault="001B2A33" w:rsidP="001B2A33">
      <w:pPr>
        <w:pStyle w:val="ListParagraph"/>
        <w:numPr>
          <w:ilvl w:val="1"/>
          <w:numId w:val="5"/>
        </w:numPr>
        <w:spacing w:line="480" w:lineRule="auto"/>
        <w:rPr>
          <w:rFonts w:cstheme="minorHAnsi"/>
          <w:bCs/>
          <w:sz w:val="28"/>
          <w:szCs w:val="28"/>
        </w:rPr>
      </w:pPr>
      <w:r w:rsidRPr="001B2A33">
        <w:rPr>
          <w:rFonts w:cstheme="minorHAnsi"/>
          <w:bCs/>
          <w:sz w:val="28"/>
          <w:szCs w:val="28"/>
        </w:rPr>
        <w:lastRenderedPageBreak/>
        <w:t xml:space="preserve">I would expect the officer </w:t>
      </w:r>
      <w:r>
        <w:rPr>
          <w:rFonts w:cstheme="minorHAnsi"/>
          <w:bCs/>
          <w:sz w:val="28"/>
          <w:szCs w:val="28"/>
        </w:rPr>
        <w:t>to</w:t>
      </w:r>
      <w:r w:rsidRPr="001B2A33">
        <w:rPr>
          <w:rFonts w:cstheme="minorHAnsi"/>
          <w:bCs/>
          <w:sz w:val="28"/>
          <w:szCs w:val="28"/>
        </w:rPr>
        <w:t xml:space="preserve"> include notes about any odor of intoxicants, appearance of the driver, etc. and should include language relating to the officer’s training and experience and whether the officer believes, in light of that experience and training, that the driver is under the influence of </w:t>
      </w:r>
      <w:r w:rsidRPr="001B2A33">
        <w:rPr>
          <w:rFonts w:cstheme="minorHAnsi"/>
          <w:bCs/>
          <w:sz w:val="28"/>
          <w:szCs w:val="28"/>
          <w:u w:val="single"/>
        </w:rPr>
        <w:t>(list the alleged intoxicant)</w:t>
      </w:r>
      <w:r w:rsidRPr="001B2A33">
        <w:rPr>
          <w:rFonts w:cstheme="minorHAnsi"/>
          <w:bCs/>
          <w:sz w:val="28"/>
          <w:szCs w:val="28"/>
        </w:rPr>
        <w:t xml:space="preserve"> to the extent that person is a less safe driver.</w:t>
      </w:r>
    </w:p>
    <w:p w14:paraId="4E606C84" w14:textId="4C250E89" w:rsidR="000F22FA" w:rsidRPr="000F22FA" w:rsidRDefault="000F22FA" w:rsidP="00313B8E">
      <w:pPr>
        <w:pStyle w:val="ListParagraph"/>
        <w:numPr>
          <w:ilvl w:val="0"/>
          <w:numId w:val="5"/>
        </w:numPr>
        <w:spacing w:line="480" w:lineRule="auto"/>
        <w:rPr>
          <w:rFonts w:cstheme="minorHAnsi"/>
          <w:b/>
          <w:sz w:val="28"/>
          <w:szCs w:val="28"/>
        </w:rPr>
      </w:pPr>
      <w:r w:rsidRPr="000F22FA">
        <w:rPr>
          <w:rFonts w:cstheme="minorHAnsi"/>
          <w:bCs/>
          <w:sz w:val="28"/>
          <w:szCs w:val="28"/>
        </w:rPr>
        <w:t>There should be information to verify that the person whom the affiant seeks to search was actually the driver</w:t>
      </w:r>
      <w:r w:rsidRPr="000F22FA">
        <w:rPr>
          <w:rFonts w:cstheme="minorHAnsi"/>
          <w:b/>
          <w:sz w:val="28"/>
          <w:szCs w:val="28"/>
        </w:rPr>
        <w:t>.</w:t>
      </w:r>
      <w:r w:rsidRPr="000F22FA">
        <w:rPr>
          <w:rFonts w:cstheme="minorHAnsi"/>
          <w:b/>
          <w:sz w:val="28"/>
          <w:szCs w:val="28"/>
          <w:vertAlign w:val="superscript"/>
        </w:rPr>
        <w:endnoteReference w:id="17"/>
      </w:r>
    </w:p>
    <w:p w14:paraId="112FC84B" w14:textId="2660105C" w:rsidR="00D31CA9" w:rsidRDefault="00D31CA9" w:rsidP="00313B8E">
      <w:pPr>
        <w:pStyle w:val="ListParagraph"/>
        <w:numPr>
          <w:ilvl w:val="0"/>
          <w:numId w:val="5"/>
        </w:numPr>
        <w:spacing w:line="480" w:lineRule="auto"/>
        <w:rPr>
          <w:rFonts w:cstheme="minorHAnsi"/>
          <w:b/>
          <w:sz w:val="28"/>
          <w:szCs w:val="28"/>
        </w:rPr>
      </w:pPr>
      <w:r w:rsidRPr="00D31CA9">
        <w:rPr>
          <w:rFonts w:cstheme="minorHAnsi"/>
          <w:bCs/>
          <w:sz w:val="28"/>
          <w:szCs w:val="28"/>
        </w:rPr>
        <w:t>Where there are facts which show that there was only one occupant of a car which ran off the road and an odor of alcohol was detected by witnesses at the scene, those facts provide sufficient probable cause for a search warrant to be issued for the driver’s blood.</w:t>
      </w:r>
      <w:r w:rsidRPr="00D31CA9">
        <w:rPr>
          <w:rFonts w:cstheme="minorHAnsi"/>
          <w:b/>
          <w:sz w:val="28"/>
          <w:szCs w:val="28"/>
          <w:vertAlign w:val="superscript"/>
        </w:rPr>
        <w:endnoteReference w:id="18"/>
      </w:r>
      <w:r w:rsidRPr="00D31CA9">
        <w:rPr>
          <w:rFonts w:cstheme="minorHAnsi"/>
          <w:b/>
          <w:sz w:val="28"/>
          <w:szCs w:val="28"/>
        </w:rPr>
        <w:t xml:space="preserve">  </w:t>
      </w:r>
    </w:p>
    <w:p w14:paraId="7EBD9655" w14:textId="77777777" w:rsidR="00D31CA9" w:rsidRDefault="00D31CA9" w:rsidP="00D31CA9">
      <w:pPr>
        <w:pStyle w:val="ListParagraph"/>
        <w:numPr>
          <w:ilvl w:val="1"/>
          <w:numId w:val="5"/>
        </w:numPr>
        <w:spacing w:line="480" w:lineRule="auto"/>
        <w:rPr>
          <w:rFonts w:cstheme="minorHAnsi"/>
          <w:b/>
          <w:sz w:val="28"/>
          <w:szCs w:val="28"/>
        </w:rPr>
      </w:pPr>
      <w:r w:rsidRPr="00D31CA9">
        <w:rPr>
          <w:rFonts w:cstheme="minorHAnsi"/>
          <w:bCs/>
          <w:sz w:val="28"/>
          <w:szCs w:val="28"/>
        </w:rPr>
        <w:t>By comparison, where there are two occupants in a car that was involved in a collision and it cannot be determined which of those individuals was the driver, issuance of a search warrant to obtain a blood sample from one or both occupants of the car may be inappropriate.</w:t>
      </w:r>
      <w:r w:rsidRPr="00D31CA9">
        <w:rPr>
          <w:rFonts w:cstheme="minorHAnsi"/>
          <w:b/>
          <w:sz w:val="28"/>
          <w:szCs w:val="28"/>
          <w:vertAlign w:val="superscript"/>
        </w:rPr>
        <w:endnoteReference w:id="19"/>
      </w:r>
      <w:r w:rsidRPr="00D31CA9">
        <w:rPr>
          <w:rFonts w:cstheme="minorHAnsi"/>
          <w:b/>
          <w:sz w:val="28"/>
          <w:szCs w:val="28"/>
        </w:rPr>
        <w:t xml:space="preserve">  </w:t>
      </w:r>
    </w:p>
    <w:p w14:paraId="33736358" w14:textId="598BC11F" w:rsidR="004E7E6C" w:rsidRPr="004C3353" w:rsidRDefault="00D31CA9" w:rsidP="00E300D2">
      <w:pPr>
        <w:pStyle w:val="ListParagraph"/>
        <w:numPr>
          <w:ilvl w:val="1"/>
          <w:numId w:val="5"/>
        </w:numPr>
        <w:spacing w:line="480" w:lineRule="auto"/>
        <w:rPr>
          <w:rFonts w:cstheme="minorHAnsi"/>
          <w:b/>
          <w:sz w:val="28"/>
          <w:szCs w:val="28"/>
        </w:rPr>
      </w:pPr>
      <w:r w:rsidRPr="00D31CA9">
        <w:rPr>
          <w:rFonts w:cstheme="minorHAnsi"/>
          <w:bCs/>
          <w:sz w:val="28"/>
          <w:szCs w:val="28"/>
        </w:rPr>
        <w:t xml:space="preserve">Where the affidavit filed in support of the search warrant does not include any information concerning whether the vehicle was involved in a crash or any other information about the driver’s operation of the vehicle in an unsafe </w:t>
      </w:r>
      <w:r w:rsidRPr="00D31CA9">
        <w:rPr>
          <w:rFonts w:cstheme="minorHAnsi"/>
          <w:bCs/>
          <w:sz w:val="28"/>
          <w:szCs w:val="28"/>
        </w:rPr>
        <w:lastRenderedPageBreak/>
        <w:t>manner, it may be inappropriate for a search warrant for the driver’s blood to be issued.</w:t>
      </w:r>
      <w:r w:rsidRPr="00D31CA9">
        <w:rPr>
          <w:rFonts w:cstheme="minorHAnsi"/>
          <w:b/>
          <w:sz w:val="28"/>
          <w:szCs w:val="28"/>
          <w:vertAlign w:val="superscript"/>
        </w:rPr>
        <w:endnoteReference w:id="20"/>
      </w:r>
    </w:p>
    <w:p w14:paraId="617CAAA3" w14:textId="13F434BD" w:rsidR="004C3353" w:rsidRDefault="004C3353" w:rsidP="004C3353">
      <w:pPr>
        <w:pStyle w:val="ListParagraph"/>
        <w:numPr>
          <w:ilvl w:val="0"/>
          <w:numId w:val="5"/>
        </w:numPr>
        <w:spacing w:line="480" w:lineRule="auto"/>
        <w:rPr>
          <w:rFonts w:cstheme="minorHAnsi"/>
          <w:b/>
          <w:sz w:val="28"/>
          <w:szCs w:val="28"/>
        </w:rPr>
      </w:pPr>
      <w:r w:rsidRPr="004C3353">
        <w:rPr>
          <w:rFonts w:cstheme="minorHAnsi"/>
          <w:b/>
          <w:sz w:val="28"/>
          <w:szCs w:val="28"/>
        </w:rPr>
        <w:t>Discuss why we do not see search warrants in virtually every DUI</w:t>
      </w:r>
    </w:p>
    <w:p w14:paraId="1A98050A" w14:textId="7BAF2B21" w:rsidR="004C3353" w:rsidRPr="004C3353" w:rsidRDefault="004C3353" w:rsidP="004C3353">
      <w:pPr>
        <w:pStyle w:val="ListParagraph"/>
        <w:numPr>
          <w:ilvl w:val="1"/>
          <w:numId w:val="5"/>
        </w:numPr>
        <w:spacing w:line="480" w:lineRule="auto"/>
        <w:rPr>
          <w:rFonts w:cstheme="minorHAnsi"/>
          <w:b/>
          <w:sz w:val="28"/>
          <w:szCs w:val="28"/>
        </w:rPr>
      </w:pPr>
      <w:r>
        <w:rPr>
          <w:rFonts w:cstheme="minorHAnsi"/>
          <w:bCs/>
          <w:sz w:val="28"/>
          <w:szCs w:val="28"/>
        </w:rPr>
        <w:t>Time of day – waking up the judge</w:t>
      </w:r>
    </w:p>
    <w:p w14:paraId="3AC14464" w14:textId="18E8E4D3" w:rsidR="004C3353" w:rsidRPr="004C3353" w:rsidRDefault="004C3353" w:rsidP="004C3353">
      <w:pPr>
        <w:pStyle w:val="ListParagraph"/>
        <w:numPr>
          <w:ilvl w:val="1"/>
          <w:numId w:val="5"/>
        </w:numPr>
        <w:spacing w:line="480" w:lineRule="auto"/>
        <w:rPr>
          <w:rFonts w:cstheme="minorHAnsi"/>
          <w:b/>
          <w:sz w:val="28"/>
          <w:szCs w:val="28"/>
        </w:rPr>
      </w:pPr>
      <w:r>
        <w:rPr>
          <w:rFonts w:cstheme="minorHAnsi"/>
          <w:bCs/>
          <w:sz w:val="28"/>
          <w:szCs w:val="28"/>
        </w:rPr>
        <w:t>Not the way we usually do it</w:t>
      </w:r>
      <w:r w:rsidR="00375AB2">
        <w:rPr>
          <w:rFonts w:cstheme="minorHAnsi"/>
          <w:bCs/>
          <w:sz w:val="28"/>
          <w:szCs w:val="28"/>
        </w:rPr>
        <w:t xml:space="preserve"> (a/k/a we may not all know how to prepare the affidavit, etc.)</w:t>
      </w:r>
    </w:p>
    <w:p w14:paraId="1F87AE12" w14:textId="399F34AA" w:rsidR="004C3353" w:rsidRPr="00375AB2" w:rsidRDefault="004C3353" w:rsidP="004C3353">
      <w:pPr>
        <w:pStyle w:val="ListParagraph"/>
        <w:numPr>
          <w:ilvl w:val="1"/>
          <w:numId w:val="5"/>
        </w:numPr>
        <w:spacing w:line="480" w:lineRule="auto"/>
        <w:rPr>
          <w:rFonts w:cstheme="minorHAnsi"/>
          <w:b/>
          <w:sz w:val="28"/>
          <w:szCs w:val="28"/>
        </w:rPr>
      </w:pPr>
      <w:r>
        <w:rPr>
          <w:rFonts w:cstheme="minorHAnsi"/>
          <w:bCs/>
          <w:sz w:val="28"/>
          <w:szCs w:val="28"/>
        </w:rPr>
        <w:t>Easier if consent to testing</w:t>
      </w:r>
    </w:p>
    <w:p w14:paraId="2BB43893" w14:textId="30B4B1B4" w:rsidR="00375AB2" w:rsidRPr="004C3353" w:rsidRDefault="00375AB2" w:rsidP="004C3353">
      <w:pPr>
        <w:pStyle w:val="ListParagraph"/>
        <w:numPr>
          <w:ilvl w:val="1"/>
          <w:numId w:val="5"/>
        </w:numPr>
        <w:spacing w:line="480" w:lineRule="auto"/>
        <w:rPr>
          <w:rFonts w:cstheme="minorHAnsi"/>
          <w:b/>
          <w:sz w:val="28"/>
          <w:szCs w:val="28"/>
        </w:rPr>
      </w:pPr>
      <w:r>
        <w:rPr>
          <w:rFonts w:cstheme="minorHAnsi"/>
          <w:bCs/>
          <w:sz w:val="28"/>
          <w:szCs w:val="28"/>
        </w:rPr>
        <w:t>License suspension?</w:t>
      </w:r>
    </w:p>
    <w:p w14:paraId="51A68BE3" w14:textId="40021C51" w:rsidR="00AE5C1E" w:rsidRPr="00AE5C1E" w:rsidRDefault="00E70DEA" w:rsidP="00AE5C1E">
      <w:pPr>
        <w:keepNext/>
        <w:spacing w:line="480" w:lineRule="auto"/>
        <w:rPr>
          <w:rStyle w:val="eop"/>
          <w:rFonts w:eastAsia="Times New Roman" w:cstheme="minorHAnsi"/>
          <w:b/>
          <w:sz w:val="28"/>
          <w:szCs w:val="28"/>
        </w:rPr>
      </w:pPr>
      <w:r>
        <w:pict w14:anchorId="3FD09572">
          <v:rect id="_x0000_i1068" style="width:0;height:1.5pt" o:hralign="center" o:hrstd="t" o:hr="t" fillcolor="#a0a0a0" stroked="f"/>
        </w:pict>
      </w:r>
    </w:p>
    <w:p w14:paraId="28065512" w14:textId="1CEF5F6A" w:rsidR="00056F9C" w:rsidRDefault="00AE5C1E"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Wade:  </w:t>
      </w:r>
      <w:r w:rsidR="00056F9C" w:rsidRPr="009A4754">
        <w:rPr>
          <w:rStyle w:val="eop"/>
          <w:rFonts w:asciiTheme="minorHAnsi" w:hAnsiTheme="minorHAnsi" w:cstheme="minorHAnsi"/>
          <w:b/>
          <w:sz w:val="28"/>
          <w:szCs w:val="28"/>
        </w:rPr>
        <w:t xml:space="preserve">Well let’s recap what we’ve learned today.  </w:t>
      </w:r>
      <w:r w:rsidR="00E300D2">
        <w:rPr>
          <w:rStyle w:val="eop"/>
          <w:rFonts w:asciiTheme="minorHAnsi" w:hAnsiTheme="minorHAnsi" w:cstheme="minorHAnsi"/>
          <w:b/>
          <w:sz w:val="28"/>
          <w:szCs w:val="28"/>
        </w:rPr>
        <w:t>A driver can refuse all testing and the officer may still seek a search warrant that authorizes a blood sample to be drawn from the defendant.</w:t>
      </w:r>
    </w:p>
    <w:p w14:paraId="5A25F354" w14:textId="4AF304FB" w:rsidR="00043AC5" w:rsidRPr="00043AC5" w:rsidRDefault="00AE5C1E"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Tain:</w:t>
      </w:r>
      <w:r>
        <w:rPr>
          <w:rStyle w:val="eop"/>
          <w:rFonts w:asciiTheme="minorHAnsi" w:hAnsiTheme="minorHAnsi" w:cstheme="minorHAnsi"/>
          <w:bCs/>
          <w:i/>
          <w:iCs/>
          <w:sz w:val="28"/>
          <w:szCs w:val="28"/>
        </w:rPr>
        <w:tab/>
      </w:r>
      <w:r w:rsidR="00E300D2">
        <w:rPr>
          <w:rStyle w:val="eop"/>
          <w:rFonts w:asciiTheme="minorHAnsi" w:hAnsiTheme="minorHAnsi" w:cstheme="minorHAnsi"/>
          <w:bCs/>
          <w:i/>
          <w:iCs/>
          <w:sz w:val="28"/>
          <w:szCs w:val="28"/>
        </w:rPr>
        <w:t>There are limitations placed upon the judge – there must be sworn testimony, by a law enforcement officer, that the "thing” or person to be searched is to be found within that judge’s jurisdiction.</w:t>
      </w:r>
    </w:p>
    <w:p w14:paraId="41828816" w14:textId="5091EE4D" w:rsidR="00056F9C" w:rsidRPr="00F44F3C" w:rsidRDefault="00AE5C1E" w:rsidP="009A4754">
      <w:pPr>
        <w:pStyle w:val="paragraph"/>
        <w:spacing w:before="0" w:beforeAutospacing="0" w:after="0" w:afterAutospacing="0" w:line="480" w:lineRule="auto"/>
        <w:textAlignment w:val="baseline"/>
        <w:rPr>
          <w:rStyle w:val="eop"/>
          <w:rFonts w:asciiTheme="minorHAnsi" w:hAnsiTheme="minorHAnsi" w:cstheme="minorHAnsi"/>
          <w:b/>
          <w:i/>
          <w:iCs/>
          <w:sz w:val="28"/>
          <w:szCs w:val="28"/>
        </w:rPr>
      </w:pPr>
      <w:r>
        <w:rPr>
          <w:rStyle w:val="eop"/>
          <w:rFonts w:asciiTheme="minorHAnsi" w:hAnsiTheme="minorHAnsi" w:cstheme="minorHAnsi"/>
          <w:b/>
          <w:i/>
          <w:iCs/>
          <w:sz w:val="28"/>
          <w:szCs w:val="28"/>
        </w:rPr>
        <w:t xml:space="preserve">Ben:  </w:t>
      </w:r>
      <w:r w:rsidR="00A3675E">
        <w:rPr>
          <w:rStyle w:val="eop"/>
          <w:rFonts w:asciiTheme="minorHAnsi" w:hAnsiTheme="minorHAnsi" w:cstheme="minorHAnsi"/>
          <w:b/>
          <w:i/>
          <w:iCs/>
          <w:sz w:val="28"/>
          <w:szCs w:val="28"/>
        </w:rPr>
        <w:t xml:space="preserve">A search warrant in a DUI case should establish that there is probable cause to believe that the defendant to be searched was the driver and that he/she was potentially under the influence of intoxicants.  </w:t>
      </w:r>
    </w:p>
    <w:p w14:paraId="5050F17E" w14:textId="096FDAA4" w:rsidR="000E47B0" w:rsidRPr="00F44F3C" w:rsidRDefault="00F44F3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lastRenderedPageBreak/>
        <w:t xml:space="preserve">Wade: </w:t>
      </w:r>
      <w:r w:rsidR="009634C6">
        <w:rPr>
          <w:rStyle w:val="eop"/>
          <w:rFonts w:asciiTheme="minorHAnsi" w:hAnsiTheme="minorHAnsi" w:cstheme="minorHAnsi"/>
          <w:b/>
          <w:sz w:val="28"/>
          <w:szCs w:val="28"/>
        </w:rPr>
        <w:t xml:space="preserve">As always, </w:t>
      </w:r>
      <w:r w:rsidR="00B84F11">
        <w:rPr>
          <w:rStyle w:val="eop"/>
          <w:rFonts w:asciiTheme="minorHAnsi" w:hAnsiTheme="minorHAnsi" w:cstheme="minorHAnsi"/>
          <w:b/>
          <w:sz w:val="28"/>
          <w:szCs w:val="28"/>
        </w:rPr>
        <w:t xml:space="preserve">this </w:t>
      </w:r>
      <w:r w:rsidR="009634C6">
        <w:rPr>
          <w:rStyle w:val="eop"/>
          <w:rFonts w:asciiTheme="minorHAnsi" w:hAnsiTheme="minorHAnsi" w:cstheme="minorHAnsi"/>
          <w:b/>
          <w:sz w:val="28"/>
          <w:szCs w:val="28"/>
        </w:rPr>
        <w:t xml:space="preserve">episode </w:t>
      </w:r>
      <w:r>
        <w:rPr>
          <w:rStyle w:val="eop"/>
          <w:rFonts w:asciiTheme="minorHAnsi" w:hAnsiTheme="minorHAnsi" w:cstheme="minorHAnsi"/>
          <w:b/>
          <w:sz w:val="28"/>
          <w:szCs w:val="28"/>
        </w:rPr>
        <w:t>outline that can be found at goodjudgepod.com</w:t>
      </w:r>
      <w:r w:rsidR="00140018">
        <w:rPr>
          <w:rStyle w:val="eop"/>
          <w:rFonts w:asciiTheme="minorHAnsi" w:hAnsiTheme="minorHAnsi" w:cstheme="minorHAnsi"/>
          <w:b/>
          <w:sz w:val="28"/>
          <w:szCs w:val="28"/>
        </w:rPr>
        <w:t>, together with citations to authority</w:t>
      </w:r>
      <w:r w:rsidR="000B6647">
        <w:rPr>
          <w:rStyle w:val="eop"/>
          <w:rFonts w:asciiTheme="minorHAnsi" w:hAnsiTheme="minorHAnsi" w:cstheme="minorHAnsi"/>
          <w:b/>
          <w:sz w:val="28"/>
          <w:szCs w:val="28"/>
        </w:rPr>
        <w:t xml:space="preserve"> for all of these different points of law we have discussed.</w:t>
      </w:r>
      <w:r w:rsidR="00B84F11">
        <w:rPr>
          <w:rStyle w:val="eop"/>
          <w:rFonts w:asciiTheme="minorHAnsi" w:hAnsiTheme="minorHAnsi" w:cstheme="minorHAnsi"/>
          <w:b/>
          <w:sz w:val="28"/>
          <w:szCs w:val="28"/>
        </w:rPr>
        <w:t xml:space="preserve">  </w:t>
      </w:r>
    </w:p>
    <w:p w14:paraId="3E666454" w14:textId="2620E683" w:rsidR="00056F9C" w:rsidRPr="00140018" w:rsidRDefault="00F44F3C" w:rsidP="00140018">
      <w:pPr>
        <w:pStyle w:val="paragraph"/>
        <w:spacing w:before="0" w:beforeAutospacing="0" w:after="0" w:afterAutospacing="0" w:line="480" w:lineRule="auto"/>
        <w:textAlignment w:val="baseline"/>
        <w:rPr>
          <w:rFonts w:asciiTheme="minorHAnsi" w:hAnsiTheme="minorHAnsi" w:cstheme="minorHAnsi"/>
          <w:i/>
          <w:sz w:val="28"/>
          <w:szCs w:val="28"/>
        </w:rPr>
      </w:pPr>
      <w:r w:rsidRPr="00140018">
        <w:rPr>
          <w:rFonts w:asciiTheme="minorHAnsi" w:hAnsiTheme="minorHAnsi" w:cstheme="minorHAnsi"/>
          <w:i/>
          <w:sz w:val="28"/>
          <w:szCs w:val="28"/>
        </w:rPr>
        <w:t xml:space="preserve">Tain:  </w:t>
      </w:r>
      <w:r w:rsidR="006B0483">
        <w:rPr>
          <w:rFonts w:asciiTheme="minorHAnsi" w:hAnsiTheme="minorHAnsi" w:cstheme="minorHAnsi"/>
          <w:i/>
          <w:sz w:val="28"/>
          <w:szCs w:val="28"/>
        </w:rPr>
        <w:t>Please</w:t>
      </w:r>
      <w:r w:rsidR="00056F9C" w:rsidRPr="00140018">
        <w:rPr>
          <w:rFonts w:asciiTheme="minorHAnsi" w:hAnsiTheme="minorHAnsi" w:cstheme="minorHAnsi"/>
          <w:i/>
          <w:sz w:val="28"/>
          <w:szCs w:val="28"/>
        </w:rPr>
        <w:t xml:space="preserve"> follow The Good Judge-</w:t>
      </w:r>
      <w:proofErr w:type="spellStart"/>
      <w:r w:rsidR="00056F9C" w:rsidRPr="00140018">
        <w:rPr>
          <w:rFonts w:asciiTheme="minorHAnsi" w:hAnsiTheme="minorHAnsi" w:cstheme="minorHAnsi"/>
          <w:i/>
          <w:sz w:val="28"/>
          <w:szCs w:val="28"/>
        </w:rPr>
        <w:t>ment</w:t>
      </w:r>
      <w:proofErr w:type="spellEnd"/>
      <w:r w:rsidR="00056F9C" w:rsidRPr="00140018">
        <w:rPr>
          <w:rFonts w:asciiTheme="minorHAnsi" w:hAnsiTheme="minorHAnsi" w:cstheme="minorHAnsi"/>
          <w:i/>
          <w:sz w:val="28"/>
          <w:szCs w:val="28"/>
        </w:rPr>
        <w:t xml:space="preserve"> podcast on your favorite platform and “like” us</w:t>
      </w:r>
      <w:r w:rsidR="000B6647">
        <w:rPr>
          <w:rFonts w:asciiTheme="minorHAnsi" w:hAnsiTheme="minorHAnsi" w:cstheme="minorHAnsi"/>
          <w:i/>
          <w:sz w:val="28"/>
          <w:szCs w:val="28"/>
        </w:rPr>
        <w:t xml:space="preserve">, </w:t>
      </w:r>
      <w:r w:rsidR="006B0483">
        <w:rPr>
          <w:rFonts w:asciiTheme="minorHAnsi" w:hAnsiTheme="minorHAnsi" w:cstheme="minorHAnsi"/>
          <w:i/>
          <w:sz w:val="28"/>
          <w:szCs w:val="28"/>
        </w:rPr>
        <w:t>it helps others find our work</w:t>
      </w:r>
      <w:r w:rsidR="00056F9C" w:rsidRPr="00140018">
        <w:rPr>
          <w:rFonts w:asciiTheme="minorHAnsi" w:hAnsiTheme="minorHAnsi" w:cstheme="minorHAnsi"/>
          <w:i/>
          <w:sz w:val="28"/>
          <w:szCs w:val="28"/>
        </w:rPr>
        <w:t>!</w:t>
      </w:r>
      <w:r w:rsidR="00A3675E">
        <w:rPr>
          <w:rFonts w:asciiTheme="minorHAnsi" w:hAnsiTheme="minorHAnsi" w:cstheme="minorHAnsi"/>
          <w:i/>
          <w:sz w:val="28"/>
          <w:szCs w:val="28"/>
        </w:rPr>
        <w:t xml:space="preserve">  Contact us at </w:t>
      </w:r>
      <w:hyperlink r:id="rId8" w:history="1">
        <w:r w:rsidR="00A3675E" w:rsidRPr="00D03FF5">
          <w:rPr>
            <w:rStyle w:val="Hyperlink"/>
            <w:rFonts w:asciiTheme="minorHAnsi" w:hAnsiTheme="minorHAnsi" w:cstheme="minorHAnsi"/>
            <w:i/>
            <w:sz w:val="28"/>
            <w:szCs w:val="28"/>
          </w:rPr>
          <w:t>goodjudgepod@gmail.com</w:t>
        </w:r>
      </w:hyperlink>
      <w:r w:rsidR="00A3675E">
        <w:rPr>
          <w:rFonts w:asciiTheme="minorHAnsi" w:hAnsiTheme="minorHAnsi" w:cstheme="minorHAnsi"/>
          <w:i/>
          <w:sz w:val="28"/>
          <w:szCs w:val="28"/>
        </w:rPr>
        <w:t xml:space="preserve"> we welcome your reviews and your ideas.  We also want to sincerely thank Judge </w:t>
      </w:r>
      <w:proofErr w:type="spellStart"/>
      <w:r w:rsidR="00A3675E">
        <w:rPr>
          <w:rFonts w:asciiTheme="minorHAnsi" w:hAnsiTheme="minorHAnsi" w:cstheme="minorHAnsi"/>
          <w:i/>
          <w:sz w:val="28"/>
          <w:szCs w:val="28"/>
        </w:rPr>
        <w:t>Studdard</w:t>
      </w:r>
      <w:proofErr w:type="spellEnd"/>
      <w:r w:rsidR="00A3675E">
        <w:rPr>
          <w:rFonts w:asciiTheme="minorHAnsi" w:hAnsiTheme="minorHAnsi" w:cstheme="minorHAnsi"/>
          <w:i/>
          <w:sz w:val="28"/>
          <w:szCs w:val="28"/>
        </w:rPr>
        <w:t xml:space="preserve"> for his participation in this series of episodes on DUI law.</w:t>
      </w:r>
    </w:p>
    <w:p w14:paraId="7923AE66" w14:textId="6323BBA5" w:rsidR="00056F9C" w:rsidRDefault="00056F9C" w:rsidP="009A4754">
      <w:pPr>
        <w:pStyle w:val="paragraph"/>
        <w:spacing w:before="0" w:beforeAutospacing="0" w:after="0" w:afterAutospacing="0" w:line="480" w:lineRule="auto"/>
        <w:textAlignment w:val="baseline"/>
        <w:rPr>
          <w:rFonts w:asciiTheme="minorHAnsi" w:hAnsiTheme="minorHAnsi" w:cstheme="minorHAnsi"/>
          <w:b/>
          <w:sz w:val="28"/>
          <w:szCs w:val="28"/>
        </w:rPr>
      </w:pPr>
      <w:r w:rsidRPr="009A4754">
        <w:rPr>
          <w:rFonts w:asciiTheme="minorHAnsi" w:hAnsiTheme="minorHAnsi" w:cstheme="minorHAnsi"/>
          <w:b/>
          <w:sz w:val="28"/>
          <w:szCs w:val="28"/>
        </w:rPr>
        <w:t>I’m Wade Padgett</w:t>
      </w:r>
    </w:p>
    <w:p w14:paraId="6CE2840D" w14:textId="6E278C2E" w:rsidR="00140018" w:rsidRPr="00140018" w:rsidRDefault="00140018" w:rsidP="009A4754">
      <w:pPr>
        <w:pStyle w:val="paragraph"/>
        <w:spacing w:before="0" w:beforeAutospacing="0" w:after="0" w:afterAutospacing="0" w:line="480" w:lineRule="auto"/>
        <w:textAlignment w:val="baseline"/>
        <w:rPr>
          <w:rFonts w:asciiTheme="minorHAnsi" w:hAnsiTheme="minorHAnsi" w:cstheme="minorHAnsi"/>
          <w:b/>
          <w:i/>
          <w:iCs/>
          <w:sz w:val="28"/>
          <w:szCs w:val="28"/>
        </w:rPr>
      </w:pPr>
      <w:r w:rsidRPr="00140018">
        <w:rPr>
          <w:rFonts w:asciiTheme="minorHAnsi" w:hAnsiTheme="minorHAnsi" w:cstheme="minorHAnsi"/>
          <w:b/>
          <w:i/>
          <w:iCs/>
          <w:sz w:val="28"/>
          <w:szCs w:val="28"/>
        </w:rPr>
        <w:t xml:space="preserve">I’m Ben </w:t>
      </w:r>
      <w:proofErr w:type="spellStart"/>
      <w:r w:rsidRPr="00140018">
        <w:rPr>
          <w:rFonts w:asciiTheme="minorHAnsi" w:hAnsiTheme="minorHAnsi" w:cstheme="minorHAnsi"/>
          <w:b/>
          <w:i/>
          <w:iCs/>
          <w:sz w:val="28"/>
          <w:szCs w:val="28"/>
        </w:rPr>
        <w:t>Studdard</w:t>
      </w:r>
      <w:proofErr w:type="spellEnd"/>
    </w:p>
    <w:p w14:paraId="68E66E9F" w14:textId="1B501853"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r w:rsidR="009634C6">
        <w:rPr>
          <w:rFonts w:asciiTheme="minorHAnsi" w:hAnsiTheme="minorHAnsi" w:cstheme="minorHAnsi"/>
          <w:i/>
          <w:sz w:val="28"/>
          <w:szCs w:val="28"/>
        </w:rPr>
        <w:t xml:space="preserve"> </w:t>
      </w:r>
      <w:r w:rsidR="006B0483">
        <w:rPr>
          <w:rFonts w:asciiTheme="minorHAnsi" w:hAnsiTheme="minorHAnsi" w:cstheme="minorHAnsi"/>
          <w:i/>
          <w:sz w:val="28"/>
          <w:szCs w:val="28"/>
        </w:rPr>
        <w:t>….</w:t>
      </w:r>
      <w:r w:rsidRPr="009A4754">
        <w:rPr>
          <w:rFonts w:asciiTheme="minorHAnsi" w:hAnsiTheme="minorHAnsi" w:cstheme="minorHAnsi"/>
          <w:i/>
          <w:sz w:val="28"/>
          <w:szCs w:val="28"/>
        </w:rPr>
        <w:t>]</w:t>
      </w:r>
    </w:p>
    <w:sectPr w:rsidR="00056F9C" w:rsidRPr="009A4754" w:rsidSect="00B819C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618B" w14:textId="77777777" w:rsidR="00E70DEA" w:rsidRDefault="00E70DEA" w:rsidP="003D1656">
      <w:pPr>
        <w:spacing w:after="0" w:line="240" w:lineRule="auto"/>
      </w:pPr>
      <w:r>
        <w:separator/>
      </w:r>
    </w:p>
  </w:endnote>
  <w:endnote w:type="continuationSeparator" w:id="0">
    <w:p w14:paraId="29919B9C" w14:textId="77777777" w:rsidR="00E70DEA" w:rsidRDefault="00E70DEA" w:rsidP="003D1656">
      <w:pPr>
        <w:spacing w:after="0" w:line="240" w:lineRule="auto"/>
      </w:pPr>
      <w:r>
        <w:continuationSeparator/>
      </w:r>
    </w:p>
  </w:endnote>
  <w:endnote w:id="1">
    <w:p w14:paraId="7FEE1CCC" w14:textId="782549C6" w:rsidR="00852C49" w:rsidRDefault="00852C49">
      <w:pPr>
        <w:pStyle w:val="EndnoteText"/>
      </w:pPr>
      <w:r>
        <w:rPr>
          <w:rStyle w:val="EndnoteReference"/>
        </w:rPr>
        <w:endnoteRef/>
      </w:r>
      <w:r>
        <w:t xml:space="preserve"> </w:t>
      </w:r>
      <w:r>
        <w:rPr>
          <w:i/>
        </w:rPr>
        <w:t>Williams v. State</w:t>
      </w:r>
      <w:r>
        <w:t>, 296 Ga. 817 (2015).</w:t>
      </w:r>
    </w:p>
  </w:endnote>
  <w:endnote w:id="2">
    <w:p w14:paraId="0E196990" w14:textId="77777777" w:rsidR="00852C49" w:rsidRPr="007670FA" w:rsidRDefault="00852C49" w:rsidP="00852C49">
      <w:pPr>
        <w:pStyle w:val="EndnoteText"/>
      </w:pPr>
      <w:r>
        <w:rPr>
          <w:rStyle w:val="EndnoteReference"/>
        </w:rPr>
        <w:endnoteRef/>
      </w:r>
      <w:r>
        <w:t xml:space="preserve"> </w:t>
      </w:r>
      <w:r>
        <w:rPr>
          <w:i/>
        </w:rPr>
        <w:t>State v. Collier</w:t>
      </w:r>
      <w:r>
        <w:t>, 279 Ga. 316, 317-318 (2005).</w:t>
      </w:r>
    </w:p>
  </w:endnote>
  <w:endnote w:id="3">
    <w:p w14:paraId="7FF3690A" w14:textId="77777777" w:rsidR="00852C49" w:rsidRPr="00C72F07" w:rsidRDefault="00852C49" w:rsidP="00852C49">
      <w:pPr>
        <w:pStyle w:val="EndnoteText"/>
      </w:pPr>
      <w:r>
        <w:rPr>
          <w:rStyle w:val="EndnoteReference"/>
        </w:rPr>
        <w:endnoteRef/>
      </w:r>
      <w:r>
        <w:t xml:space="preserve"> O.C.G.A. §40-5-67.1(d.1) (</w:t>
      </w:r>
      <w:r w:rsidRPr="00C72F07">
        <w:t>“[n]</w:t>
      </w:r>
      <w:proofErr w:type="spellStart"/>
      <w:r w:rsidRPr="00C72F07">
        <w:t>othing</w:t>
      </w:r>
      <w:proofErr w:type="spellEnd"/>
      <w:r w:rsidRPr="00C72F07">
        <w:t xml:space="preserve"> in this Code section shall be deemed to preclude the acquisition or admission of evidence of a violation of Code Section 40–6–391 if obtained by voluntary consent or a search warrant as authorized by the Constitution or laws of this [S]</w:t>
      </w:r>
      <w:proofErr w:type="spellStart"/>
      <w:r w:rsidRPr="00C72F07">
        <w:t>tate</w:t>
      </w:r>
      <w:proofErr w:type="spellEnd"/>
      <w:r w:rsidRPr="00C72F07">
        <w:t xml:space="preserve"> or the United States.”</w:t>
      </w:r>
      <w:r>
        <w:t xml:space="preserve">).  </w:t>
      </w:r>
      <w:r>
        <w:rPr>
          <w:i/>
        </w:rPr>
        <w:t>McAllister v. State</w:t>
      </w:r>
      <w:r>
        <w:t xml:space="preserve">, 325 Ga. App. 583, 585 (2014).  The legislature amended the statute to allow search warrants in DUI cases the during the first session that was convened after the decision in </w:t>
      </w:r>
      <w:r>
        <w:rPr>
          <w:i/>
        </w:rPr>
        <w:t>Collier</w:t>
      </w:r>
      <w:r>
        <w:t>.</w:t>
      </w:r>
    </w:p>
  </w:endnote>
  <w:endnote w:id="4">
    <w:p w14:paraId="38119986" w14:textId="77777777" w:rsidR="00852C49" w:rsidRPr="00C72F07" w:rsidRDefault="00852C49" w:rsidP="00852C49">
      <w:pPr>
        <w:pStyle w:val="EndnoteText"/>
      </w:pPr>
      <w:r>
        <w:rPr>
          <w:rStyle w:val="EndnoteReference"/>
        </w:rPr>
        <w:endnoteRef/>
      </w:r>
      <w:r>
        <w:t xml:space="preserve"> </w:t>
      </w:r>
      <w:r>
        <w:rPr>
          <w:i/>
        </w:rPr>
        <w:t>Danley v. State</w:t>
      </w:r>
      <w:r>
        <w:t xml:space="preserve">, 342 Ga. App. 61 (2017); </w:t>
      </w:r>
      <w:r>
        <w:rPr>
          <w:i/>
        </w:rPr>
        <w:t>Hynes v. State</w:t>
      </w:r>
      <w:r>
        <w:t xml:space="preserve">, 341 Ga. App. 500 (2017); </w:t>
      </w:r>
      <w:r>
        <w:rPr>
          <w:i/>
        </w:rPr>
        <w:t>Taylor v. State</w:t>
      </w:r>
      <w:r>
        <w:t xml:space="preserve">, 337 Ga. App. 486, 495 (2016); </w:t>
      </w:r>
      <w:r>
        <w:rPr>
          <w:i/>
        </w:rPr>
        <w:t>Massey v. State</w:t>
      </w:r>
      <w:r>
        <w:t>, 331 Ga. App. 430 (2015).</w:t>
      </w:r>
    </w:p>
  </w:endnote>
  <w:endnote w:id="5">
    <w:p w14:paraId="1CD0C97B" w14:textId="77777777" w:rsidR="00D31CA9" w:rsidRPr="007956ED" w:rsidRDefault="00D31CA9" w:rsidP="00D31CA9">
      <w:pPr>
        <w:pStyle w:val="EndnoteText"/>
      </w:pPr>
      <w:r>
        <w:rPr>
          <w:rStyle w:val="EndnoteReference"/>
        </w:rPr>
        <w:endnoteRef/>
      </w:r>
      <w:r>
        <w:t xml:space="preserve"> </w:t>
      </w:r>
      <w:r>
        <w:rPr>
          <w:i/>
          <w:iCs/>
        </w:rPr>
        <w:t>Mason v. State</w:t>
      </w:r>
      <w:r>
        <w:t>, 353 Ga. App. 404, 405 (2020).</w:t>
      </w:r>
    </w:p>
  </w:endnote>
  <w:endnote w:id="6">
    <w:p w14:paraId="4E32DE1A" w14:textId="36036CEA" w:rsidR="00E73CCC" w:rsidRPr="00550B35" w:rsidRDefault="00E73CCC">
      <w:pPr>
        <w:pStyle w:val="EndnoteText"/>
      </w:pPr>
      <w:r>
        <w:rPr>
          <w:rStyle w:val="EndnoteReference"/>
        </w:rPr>
        <w:endnoteRef/>
      </w:r>
      <w:r>
        <w:t xml:space="preserve"> O.C.G.A. § 17-5-21; </w:t>
      </w:r>
      <w:proofErr w:type="spellStart"/>
      <w:r>
        <w:rPr>
          <w:i/>
          <w:iCs/>
        </w:rPr>
        <w:t>Lejune</w:t>
      </w:r>
      <w:proofErr w:type="spellEnd"/>
      <w:r>
        <w:t xml:space="preserve">, 277 Ga. 749, 751-752 (2004); </w:t>
      </w:r>
      <w:r>
        <w:rPr>
          <w:i/>
          <w:iCs/>
        </w:rPr>
        <w:t>Kirkland</w:t>
      </w:r>
      <w:r>
        <w:t xml:space="preserve">, 212 Ga. App. </w:t>
      </w:r>
      <w:r w:rsidR="00550B35">
        <w:t xml:space="preserve">672 (1994); </w:t>
      </w:r>
      <w:r w:rsidR="00550B35">
        <w:rPr>
          <w:i/>
          <w:iCs/>
        </w:rPr>
        <w:t>Allison</w:t>
      </w:r>
      <w:r w:rsidR="00550B35">
        <w:t>, 129 Ga. App. 364, 365 (1973); § 15-6-23 allows Superior Court Judge to issue warrant for anything to be found within the judge’s circuit.</w:t>
      </w:r>
    </w:p>
  </w:endnote>
  <w:endnote w:id="7">
    <w:p w14:paraId="60E33B33" w14:textId="3805CBF2" w:rsidR="00F11E23" w:rsidRPr="00F11E23" w:rsidRDefault="00F11E23">
      <w:pPr>
        <w:pStyle w:val="EndnoteText"/>
      </w:pPr>
      <w:r>
        <w:rPr>
          <w:rStyle w:val="EndnoteReference"/>
        </w:rPr>
        <w:endnoteRef/>
      </w:r>
      <w:r>
        <w:t xml:space="preserve"> </w:t>
      </w:r>
      <w:r>
        <w:rPr>
          <w:i/>
          <w:iCs/>
        </w:rPr>
        <w:t>State v. Palmer</w:t>
      </w:r>
      <w:r>
        <w:t>, 285 Ga. 75, 77 (2009).</w:t>
      </w:r>
    </w:p>
  </w:endnote>
  <w:endnote w:id="8">
    <w:p w14:paraId="73CB312F" w14:textId="1A3369AB" w:rsidR="00F74EB0" w:rsidRDefault="00F74EB0">
      <w:pPr>
        <w:pStyle w:val="EndnoteText"/>
      </w:pPr>
      <w:r>
        <w:rPr>
          <w:rStyle w:val="EndnoteReference"/>
        </w:rPr>
        <w:endnoteRef/>
      </w:r>
      <w:r>
        <w:t xml:space="preserve"> </w:t>
      </w:r>
      <w:r>
        <w:rPr>
          <w:i/>
          <w:iCs/>
        </w:rPr>
        <w:t>State v. Palmer</w:t>
      </w:r>
      <w:r>
        <w:t>, 285 Ga. 75, 77 (2009)</w:t>
      </w:r>
      <w:r>
        <w:t>.</w:t>
      </w:r>
    </w:p>
  </w:endnote>
  <w:endnote w:id="9">
    <w:p w14:paraId="0F03CACE" w14:textId="74F67262" w:rsidR="00F74EB0" w:rsidRDefault="00F74EB0">
      <w:pPr>
        <w:pStyle w:val="EndnoteText"/>
      </w:pPr>
      <w:r>
        <w:rPr>
          <w:rStyle w:val="EndnoteReference"/>
        </w:rPr>
        <w:endnoteRef/>
      </w:r>
      <w:r>
        <w:t xml:space="preserve"> </w:t>
      </w:r>
      <w:r>
        <w:rPr>
          <w:i/>
          <w:iCs/>
        </w:rPr>
        <w:t>State v. Palmer</w:t>
      </w:r>
      <w:r>
        <w:t>, 285 Ga. 75, 77 (2009).</w:t>
      </w:r>
    </w:p>
  </w:endnote>
  <w:endnote w:id="10">
    <w:p w14:paraId="3CCB4F80" w14:textId="77777777" w:rsidR="000F22FA" w:rsidRPr="00036F30" w:rsidRDefault="000F22FA" w:rsidP="000F22FA">
      <w:pPr>
        <w:pStyle w:val="EndnoteText"/>
      </w:pPr>
      <w:r>
        <w:rPr>
          <w:rStyle w:val="EndnoteReference"/>
        </w:rPr>
        <w:endnoteRef/>
      </w:r>
      <w:r>
        <w:t xml:space="preserve"> </w:t>
      </w:r>
      <w:r>
        <w:rPr>
          <w:i/>
        </w:rPr>
        <w:t>Barnett v. State</w:t>
      </w:r>
      <w:r>
        <w:t>, 136 Ga. App. 122 (1975).</w:t>
      </w:r>
    </w:p>
  </w:endnote>
  <w:endnote w:id="11">
    <w:p w14:paraId="5EB5B724" w14:textId="77777777" w:rsidR="000F22FA" w:rsidRPr="00E905D0" w:rsidRDefault="000F22FA" w:rsidP="000F22FA">
      <w:pPr>
        <w:pStyle w:val="EndnoteText"/>
      </w:pPr>
      <w:r>
        <w:rPr>
          <w:rStyle w:val="EndnoteReference"/>
        </w:rPr>
        <w:endnoteRef/>
      </w:r>
      <w:r>
        <w:t xml:space="preserve"> </w:t>
      </w:r>
      <w:r>
        <w:rPr>
          <w:i/>
        </w:rPr>
        <w:t>King v. State</w:t>
      </w:r>
      <w:r>
        <w:t>, 263 Ga. 741, 744 (1994).</w:t>
      </w:r>
    </w:p>
  </w:endnote>
  <w:endnote w:id="12">
    <w:p w14:paraId="7C3FD184" w14:textId="77777777" w:rsidR="000F22FA" w:rsidRDefault="000F22FA" w:rsidP="000F22FA">
      <w:pPr>
        <w:pStyle w:val="EndnoteText"/>
      </w:pPr>
      <w:r>
        <w:rPr>
          <w:rStyle w:val="EndnoteReference"/>
        </w:rPr>
        <w:endnoteRef/>
      </w:r>
      <w:r>
        <w:t xml:space="preserve"> O.C.G.A. §17-5-21.1.</w:t>
      </w:r>
    </w:p>
  </w:endnote>
  <w:endnote w:id="13">
    <w:p w14:paraId="1CC58166" w14:textId="0141BBFA" w:rsidR="00B353E8" w:rsidRDefault="00B353E8">
      <w:pPr>
        <w:pStyle w:val="EndnoteText"/>
      </w:pPr>
      <w:r>
        <w:rPr>
          <w:rStyle w:val="EndnoteReference"/>
        </w:rPr>
        <w:endnoteRef/>
      </w:r>
      <w:r>
        <w:t xml:space="preserve"> </w:t>
      </w:r>
      <w:r w:rsidRPr="00745701">
        <w:rPr>
          <w:i/>
        </w:rPr>
        <w:t>Patel v. State</w:t>
      </w:r>
      <w:r w:rsidRPr="00745701">
        <w:t>, 289 Ga. 479, 486-487 (2011) (judge who issued search warrants not required to recuse from related trial).</w:t>
      </w:r>
    </w:p>
  </w:endnote>
  <w:endnote w:id="14">
    <w:p w14:paraId="77D74F09" w14:textId="77777777" w:rsidR="00B353E8" w:rsidRPr="00CD22B5" w:rsidRDefault="00B353E8" w:rsidP="00B353E8">
      <w:pPr>
        <w:pStyle w:val="EndnoteText"/>
      </w:pPr>
      <w:r>
        <w:rPr>
          <w:rStyle w:val="EndnoteReference"/>
        </w:rPr>
        <w:endnoteRef/>
      </w:r>
      <w:r>
        <w:t xml:space="preserve"> </w:t>
      </w:r>
      <w:r>
        <w:rPr>
          <w:i/>
        </w:rPr>
        <w:t>Paul v. State</w:t>
      </w:r>
      <w:r>
        <w:t>, 296 Ga. App. 6, 9-10 (2009) (judge handling trial had twice previously presided over probation revocation hearings involving the defendant and ruled against him).</w:t>
      </w:r>
    </w:p>
  </w:endnote>
  <w:endnote w:id="15">
    <w:p w14:paraId="632E8597" w14:textId="77777777" w:rsidR="00B353E8" w:rsidRDefault="00B353E8" w:rsidP="00B353E8">
      <w:pPr>
        <w:pStyle w:val="EndnoteText"/>
      </w:pPr>
      <w:r>
        <w:rPr>
          <w:rStyle w:val="EndnoteReference"/>
        </w:rPr>
        <w:endnoteRef/>
      </w:r>
      <w:r>
        <w:t xml:space="preserve"> </w:t>
      </w:r>
      <w:r w:rsidRPr="00745701">
        <w:rPr>
          <w:i/>
        </w:rPr>
        <w:t>Baptiste v. State</w:t>
      </w:r>
      <w:r w:rsidRPr="00745701">
        <w:t xml:space="preserve">, 229 Ga. App. 691, 695 (1997), citing </w:t>
      </w:r>
      <w:r w:rsidRPr="00745701">
        <w:rPr>
          <w:i/>
        </w:rPr>
        <w:t>McMichen v. State</w:t>
      </w:r>
      <w:r w:rsidRPr="00745701">
        <w:t>, 265 Ga, 598, 607 (1995).</w:t>
      </w:r>
    </w:p>
  </w:endnote>
  <w:endnote w:id="16">
    <w:p w14:paraId="70EA3F34" w14:textId="77777777" w:rsidR="001B2A33" w:rsidRDefault="001B2A33" w:rsidP="001B2A33">
      <w:pPr>
        <w:pStyle w:val="EndnoteText"/>
      </w:pPr>
      <w:r>
        <w:rPr>
          <w:rStyle w:val="EndnoteReference"/>
        </w:rPr>
        <w:endnoteRef/>
      </w:r>
      <w:r>
        <w:t xml:space="preserve"> </w:t>
      </w:r>
      <w:r>
        <w:rPr>
          <w:i/>
          <w:iCs/>
        </w:rPr>
        <w:t>State v. Jennings</w:t>
      </w:r>
      <w:r>
        <w:t>, 318 Ga. App. 237, 239 (2012).</w:t>
      </w:r>
    </w:p>
  </w:endnote>
  <w:endnote w:id="17">
    <w:p w14:paraId="44AB7FB3" w14:textId="77777777" w:rsidR="000F22FA" w:rsidRDefault="000F22FA" w:rsidP="000F22FA">
      <w:pPr>
        <w:pStyle w:val="EndnoteText"/>
      </w:pPr>
      <w:r>
        <w:rPr>
          <w:rStyle w:val="EndnoteReference"/>
        </w:rPr>
        <w:endnoteRef/>
      </w:r>
      <w:r>
        <w:t xml:space="preserve"> </w:t>
      </w:r>
      <w:r>
        <w:rPr>
          <w:i/>
          <w:iCs/>
        </w:rPr>
        <w:t>Willoughby v. State</w:t>
      </w:r>
      <w:r>
        <w:rPr>
          <w:iCs/>
        </w:rPr>
        <w:t>, 315 Ga. App. 401, 403 (2012).</w:t>
      </w:r>
    </w:p>
  </w:endnote>
  <w:endnote w:id="18">
    <w:p w14:paraId="10CE2716" w14:textId="77777777" w:rsidR="00D31CA9" w:rsidRDefault="00D31CA9" w:rsidP="00D31CA9">
      <w:pPr>
        <w:pStyle w:val="EndnoteText"/>
      </w:pPr>
      <w:r>
        <w:rPr>
          <w:rStyle w:val="EndnoteReference"/>
        </w:rPr>
        <w:endnoteRef/>
      </w:r>
      <w:r>
        <w:t xml:space="preserve"> </w:t>
      </w:r>
      <w:r>
        <w:rPr>
          <w:i/>
          <w:iCs/>
        </w:rPr>
        <w:t>Mason v. State</w:t>
      </w:r>
      <w:r>
        <w:t>, 353 Ga. App. 404, 407 (2020).</w:t>
      </w:r>
    </w:p>
  </w:endnote>
  <w:endnote w:id="19">
    <w:p w14:paraId="4FBE41B2" w14:textId="77777777" w:rsidR="00D31CA9" w:rsidRPr="003F6C3C" w:rsidRDefault="00D31CA9" w:rsidP="00D31CA9">
      <w:pPr>
        <w:pStyle w:val="EndnoteText"/>
        <w:rPr>
          <w:iCs/>
        </w:rPr>
      </w:pPr>
      <w:r>
        <w:rPr>
          <w:rStyle w:val="EndnoteReference"/>
        </w:rPr>
        <w:endnoteRef/>
      </w:r>
      <w:r>
        <w:t xml:space="preserve"> </w:t>
      </w:r>
      <w:r>
        <w:rPr>
          <w:i/>
          <w:iCs/>
        </w:rPr>
        <w:t>Willoughby v. State</w:t>
      </w:r>
      <w:r>
        <w:rPr>
          <w:iCs/>
        </w:rPr>
        <w:t>, 315 Ga. App. 401, 403 (2012).</w:t>
      </w:r>
    </w:p>
  </w:endnote>
  <w:endnote w:id="20">
    <w:p w14:paraId="50EB272D" w14:textId="77777777" w:rsidR="00D31CA9" w:rsidRPr="003F6C3C" w:rsidRDefault="00D31CA9" w:rsidP="00D31CA9">
      <w:pPr>
        <w:pStyle w:val="EndnoteText"/>
      </w:pPr>
      <w:r>
        <w:rPr>
          <w:rStyle w:val="EndnoteReference"/>
        </w:rPr>
        <w:endnoteRef/>
      </w:r>
      <w:r>
        <w:t xml:space="preserve"> </w:t>
      </w:r>
      <w:r>
        <w:rPr>
          <w:i/>
          <w:iCs/>
        </w:rPr>
        <w:t>State v. Jennings</w:t>
      </w:r>
      <w:r>
        <w:t>, 318 Ga. App. 237, 239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478D" w14:textId="77777777" w:rsidR="00493622" w:rsidRDefault="0049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94A" w14:textId="77777777" w:rsidR="00493622" w:rsidRDefault="00493622" w:rsidP="00C527D7">
    <w:pPr>
      <w:pStyle w:val="Footer"/>
      <w:tabs>
        <w:tab w:val="clear" w:pos="4680"/>
        <w:tab w:val="clear" w:pos="9360"/>
      </w:tabs>
      <w:jc w:val="center"/>
      <w:rPr>
        <w:b/>
        <w:bCs/>
        <w:sz w:val="20"/>
        <w:szCs w:val="20"/>
      </w:rPr>
    </w:pPr>
  </w:p>
  <w:p w14:paraId="62FFDBF2" w14:textId="1CBF4A07" w:rsidR="003D0F81" w:rsidRDefault="00493622" w:rsidP="00C527D7">
    <w:pPr>
      <w:pStyle w:val="Footer"/>
      <w:tabs>
        <w:tab w:val="clear" w:pos="4680"/>
        <w:tab w:val="clear" w:pos="9360"/>
      </w:tabs>
      <w:jc w:val="center"/>
      <w:rPr>
        <w:b/>
        <w:bCs/>
        <w:sz w:val="20"/>
        <w:szCs w:val="20"/>
      </w:rPr>
    </w:pPr>
    <w:r>
      <w:rPr>
        <w:b/>
        <w:bCs/>
        <w:sz w:val="20"/>
        <w:szCs w:val="20"/>
      </w:rPr>
      <w:t>DUI EPISODE #</w:t>
    </w:r>
    <w:r w:rsidR="004B20E6">
      <w:rPr>
        <w:b/>
        <w:bCs/>
        <w:sz w:val="20"/>
        <w:szCs w:val="20"/>
      </w:rPr>
      <w:t>5</w:t>
    </w:r>
    <w:r w:rsidR="003D0F81">
      <w:rPr>
        <w:b/>
        <w:bCs/>
        <w:sz w:val="20"/>
        <w:szCs w:val="20"/>
      </w:rPr>
      <w:t xml:space="preserve"> – EPISODE NOTES</w:t>
    </w:r>
  </w:p>
  <w:p w14:paraId="0CA5BFF0" w14:textId="3E0AC883" w:rsidR="003D0F81" w:rsidRPr="00DB0007" w:rsidRDefault="003D0F81" w:rsidP="00C527D7">
    <w:pPr>
      <w:pStyle w:val="Footer"/>
      <w:tabs>
        <w:tab w:val="clear" w:pos="4680"/>
        <w:tab w:val="clear" w:pos="9360"/>
      </w:tabs>
      <w:jc w:val="center"/>
      <w:rPr>
        <w:b/>
        <w:bCs/>
        <w:sz w:val="20"/>
        <w:szCs w:val="20"/>
      </w:rPr>
    </w:pPr>
    <w:r>
      <w:rPr>
        <w:b/>
        <w:bCs/>
        <w:sz w:val="20"/>
        <w:szCs w:val="20"/>
      </w:rPr>
      <w:t xml:space="preserve">RECORDED </w:t>
    </w:r>
    <w:r w:rsidR="00493622">
      <w:rPr>
        <w:b/>
        <w:bCs/>
        <w:sz w:val="20"/>
        <w:szCs w:val="20"/>
      </w:rPr>
      <w:t>7</w:t>
    </w:r>
    <w:r>
      <w:rPr>
        <w:b/>
        <w:bCs/>
        <w:sz w:val="20"/>
        <w:szCs w:val="20"/>
      </w:rPr>
      <w:t>/2</w:t>
    </w:r>
    <w:r w:rsidR="00493622">
      <w:rPr>
        <w:b/>
        <w:bCs/>
        <w:sz w:val="20"/>
        <w:szCs w:val="20"/>
      </w:rPr>
      <w:t>0</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7AA" w14:textId="77777777" w:rsidR="00493622" w:rsidRDefault="0049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FE14" w14:textId="77777777" w:rsidR="00E70DEA" w:rsidRDefault="00E70DEA" w:rsidP="003D1656">
      <w:pPr>
        <w:spacing w:after="0" w:line="240" w:lineRule="auto"/>
      </w:pPr>
      <w:r>
        <w:separator/>
      </w:r>
    </w:p>
  </w:footnote>
  <w:footnote w:type="continuationSeparator" w:id="0">
    <w:p w14:paraId="0795F1DF" w14:textId="77777777" w:rsidR="00E70DEA" w:rsidRDefault="00E70DEA" w:rsidP="003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37A1" w14:textId="77777777" w:rsidR="00493622" w:rsidRDefault="0049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554" w14:textId="77777777" w:rsidR="00493622" w:rsidRDefault="0049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711F" w14:textId="77777777" w:rsidR="00493622" w:rsidRDefault="0049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3F9A"/>
    <w:multiLevelType w:val="multilevel"/>
    <w:tmpl w:val="2A486EDE"/>
    <w:lvl w:ilvl="0">
      <w:start w:val="1"/>
      <w:numFmt w:val="decimal"/>
      <w:lvlText w:val="%1)"/>
      <w:lvlJc w:val="right"/>
      <w:pPr>
        <w:ind w:left="360" w:hanging="72"/>
      </w:pPr>
      <w:rPr>
        <w:rFonts w:hint="default"/>
        <w:b w:val="0"/>
        <w:bCs/>
      </w:rPr>
    </w:lvl>
    <w:lvl w:ilvl="1">
      <w:start w:val="1"/>
      <w:numFmt w:val="lowerLetter"/>
      <w:lvlText w:val="%2)"/>
      <w:lvlJc w:val="right"/>
      <w:pPr>
        <w:ind w:left="720" w:hanging="360"/>
      </w:pPr>
      <w:rPr>
        <w:rFonts w:hint="default"/>
        <w:b w:val="0"/>
        <w:bCs/>
      </w:rPr>
    </w:lvl>
    <w:lvl w:ilvl="2">
      <w:start w:val="1"/>
      <w:numFmt w:val="lowerRoman"/>
      <w:lvlText w:val="%3)"/>
      <w:lvlJc w:val="right"/>
      <w:pPr>
        <w:ind w:left="1080" w:hanging="360"/>
      </w:pPr>
      <w:rPr>
        <w:rFonts w:hint="default"/>
        <w:b w:val="0"/>
        <w:bCs/>
      </w:rPr>
    </w:lvl>
    <w:lvl w:ilvl="3">
      <w:start w:val="1"/>
      <w:numFmt w:val="decimal"/>
      <w:lvlText w:val="(%4)"/>
      <w:lvlJc w:val="right"/>
      <w:pPr>
        <w:ind w:left="1440" w:hanging="360"/>
      </w:pPr>
      <w:rPr>
        <w:rFonts w:asciiTheme="minorHAnsi" w:hAnsiTheme="minorHAnsi" w:hint="default"/>
        <w:b w:val="0"/>
        <w:bCs w:val="0"/>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00BEC"/>
    <w:multiLevelType w:val="multilevel"/>
    <w:tmpl w:val="1E0059B0"/>
    <w:lvl w:ilvl="0">
      <w:start w:val="1"/>
      <w:numFmt w:val="decimal"/>
      <w:lvlText w:val="%1)"/>
      <w:lvlJc w:val="right"/>
      <w:pPr>
        <w:ind w:left="360" w:hanging="72"/>
      </w:pPr>
      <w:rPr>
        <w:rFonts w:hint="default"/>
      </w:rPr>
    </w:lvl>
    <w:lvl w:ilvl="1">
      <w:start w:val="1"/>
      <w:numFmt w:val="low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right"/>
      <w:pPr>
        <w:ind w:left="1440" w:hanging="360"/>
      </w:pPr>
      <w:rPr>
        <w:rFonts w:asciiTheme="minorHAnsi" w:hAnsiTheme="minorHAnsi" w:hint="default"/>
        <w:b/>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0259F"/>
    <w:multiLevelType w:val="multilevel"/>
    <w:tmpl w:val="2A486EDE"/>
    <w:lvl w:ilvl="0">
      <w:start w:val="1"/>
      <w:numFmt w:val="decimal"/>
      <w:lvlText w:val="%1)"/>
      <w:lvlJc w:val="right"/>
      <w:pPr>
        <w:ind w:left="360" w:hanging="72"/>
      </w:pPr>
      <w:rPr>
        <w:rFonts w:hint="default"/>
        <w:b w:val="0"/>
        <w:bCs/>
      </w:rPr>
    </w:lvl>
    <w:lvl w:ilvl="1">
      <w:start w:val="1"/>
      <w:numFmt w:val="lowerLetter"/>
      <w:lvlText w:val="%2)"/>
      <w:lvlJc w:val="right"/>
      <w:pPr>
        <w:ind w:left="720" w:hanging="360"/>
      </w:pPr>
      <w:rPr>
        <w:rFonts w:hint="default"/>
        <w:b w:val="0"/>
        <w:bCs/>
      </w:rPr>
    </w:lvl>
    <w:lvl w:ilvl="2">
      <w:start w:val="1"/>
      <w:numFmt w:val="lowerRoman"/>
      <w:lvlText w:val="%3)"/>
      <w:lvlJc w:val="right"/>
      <w:pPr>
        <w:ind w:left="1080" w:hanging="360"/>
      </w:pPr>
      <w:rPr>
        <w:rFonts w:hint="default"/>
        <w:b w:val="0"/>
        <w:bCs/>
      </w:rPr>
    </w:lvl>
    <w:lvl w:ilvl="3">
      <w:start w:val="1"/>
      <w:numFmt w:val="decimal"/>
      <w:lvlText w:val="(%4)"/>
      <w:lvlJc w:val="right"/>
      <w:pPr>
        <w:ind w:left="1440" w:hanging="360"/>
      </w:pPr>
      <w:rPr>
        <w:rFonts w:asciiTheme="minorHAnsi" w:hAnsiTheme="minorHAnsi" w:hint="default"/>
        <w:b w:val="0"/>
        <w:bCs w:val="0"/>
        <w:i w:val="0"/>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C15D45"/>
    <w:multiLevelType w:val="hybridMultilevel"/>
    <w:tmpl w:val="18108750"/>
    <w:lvl w:ilvl="0" w:tplc="30161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56810">
    <w:abstractNumId w:val="3"/>
  </w:num>
  <w:num w:numId="2" w16cid:durableId="1199396745">
    <w:abstractNumId w:val="6"/>
  </w:num>
  <w:num w:numId="3" w16cid:durableId="1734767385">
    <w:abstractNumId w:val="1"/>
  </w:num>
  <w:num w:numId="4" w16cid:durableId="245384830">
    <w:abstractNumId w:val="2"/>
  </w:num>
  <w:num w:numId="5" w16cid:durableId="1498613326">
    <w:abstractNumId w:val="0"/>
  </w:num>
  <w:num w:numId="6" w16cid:durableId="589893891">
    <w:abstractNumId w:val="5"/>
  </w:num>
  <w:num w:numId="7" w16cid:durableId="1877693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14693"/>
    <w:rsid w:val="0002307B"/>
    <w:rsid w:val="0003349C"/>
    <w:rsid w:val="00035FF6"/>
    <w:rsid w:val="00043AC5"/>
    <w:rsid w:val="0004612B"/>
    <w:rsid w:val="00053434"/>
    <w:rsid w:val="00056F9C"/>
    <w:rsid w:val="000A14C6"/>
    <w:rsid w:val="000A7440"/>
    <w:rsid w:val="000B2082"/>
    <w:rsid w:val="000B6647"/>
    <w:rsid w:val="000C3A97"/>
    <w:rsid w:val="000E47B0"/>
    <w:rsid w:val="000F22FA"/>
    <w:rsid w:val="001064BC"/>
    <w:rsid w:val="00112DAF"/>
    <w:rsid w:val="00123B60"/>
    <w:rsid w:val="00140018"/>
    <w:rsid w:val="00143B65"/>
    <w:rsid w:val="00145BE9"/>
    <w:rsid w:val="00181723"/>
    <w:rsid w:val="00184F80"/>
    <w:rsid w:val="00187B15"/>
    <w:rsid w:val="001B2A33"/>
    <w:rsid w:val="001B4F6B"/>
    <w:rsid w:val="00201435"/>
    <w:rsid w:val="00205A19"/>
    <w:rsid w:val="00241207"/>
    <w:rsid w:val="00262669"/>
    <w:rsid w:val="00282DF9"/>
    <w:rsid w:val="002B2D45"/>
    <w:rsid w:val="002C3390"/>
    <w:rsid w:val="002C49E7"/>
    <w:rsid w:val="002C6681"/>
    <w:rsid w:val="002D5F38"/>
    <w:rsid w:val="002F312C"/>
    <w:rsid w:val="00313B8E"/>
    <w:rsid w:val="00342A2E"/>
    <w:rsid w:val="00343CEA"/>
    <w:rsid w:val="00344659"/>
    <w:rsid w:val="0036098C"/>
    <w:rsid w:val="00362958"/>
    <w:rsid w:val="00375AB2"/>
    <w:rsid w:val="003936BF"/>
    <w:rsid w:val="0039605A"/>
    <w:rsid w:val="003B536E"/>
    <w:rsid w:val="003D0F81"/>
    <w:rsid w:val="003D1656"/>
    <w:rsid w:val="003D27E1"/>
    <w:rsid w:val="003D3FAD"/>
    <w:rsid w:val="003E482D"/>
    <w:rsid w:val="00410CAE"/>
    <w:rsid w:val="004114E7"/>
    <w:rsid w:val="004321F2"/>
    <w:rsid w:val="00437CB7"/>
    <w:rsid w:val="0044134C"/>
    <w:rsid w:val="004431EB"/>
    <w:rsid w:val="00465A3F"/>
    <w:rsid w:val="00467E8D"/>
    <w:rsid w:val="00474DFB"/>
    <w:rsid w:val="00487663"/>
    <w:rsid w:val="00493622"/>
    <w:rsid w:val="004A700E"/>
    <w:rsid w:val="004B20E6"/>
    <w:rsid w:val="004C20A9"/>
    <w:rsid w:val="004C3353"/>
    <w:rsid w:val="004D070B"/>
    <w:rsid w:val="004D29E0"/>
    <w:rsid w:val="004E7E6C"/>
    <w:rsid w:val="00533058"/>
    <w:rsid w:val="0054327E"/>
    <w:rsid w:val="00550B35"/>
    <w:rsid w:val="00565499"/>
    <w:rsid w:val="00594B75"/>
    <w:rsid w:val="00596B68"/>
    <w:rsid w:val="005B216F"/>
    <w:rsid w:val="005D0F8A"/>
    <w:rsid w:val="005D6EB1"/>
    <w:rsid w:val="005F1E63"/>
    <w:rsid w:val="005F3C7F"/>
    <w:rsid w:val="00605180"/>
    <w:rsid w:val="0061173E"/>
    <w:rsid w:val="00631F73"/>
    <w:rsid w:val="00634A39"/>
    <w:rsid w:val="006608C6"/>
    <w:rsid w:val="00667527"/>
    <w:rsid w:val="00667D30"/>
    <w:rsid w:val="00670026"/>
    <w:rsid w:val="00685C2F"/>
    <w:rsid w:val="006A1D24"/>
    <w:rsid w:val="006B0483"/>
    <w:rsid w:val="006C5ABE"/>
    <w:rsid w:val="006D13C1"/>
    <w:rsid w:val="006D7028"/>
    <w:rsid w:val="00727039"/>
    <w:rsid w:val="00762FCE"/>
    <w:rsid w:val="00792749"/>
    <w:rsid w:val="0079387C"/>
    <w:rsid w:val="007A7B70"/>
    <w:rsid w:val="007F2FA9"/>
    <w:rsid w:val="00803A61"/>
    <w:rsid w:val="00841559"/>
    <w:rsid w:val="00852C49"/>
    <w:rsid w:val="0087415F"/>
    <w:rsid w:val="008752D4"/>
    <w:rsid w:val="008A2B0D"/>
    <w:rsid w:val="008A52E3"/>
    <w:rsid w:val="008D1990"/>
    <w:rsid w:val="008E7465"/>
    <w:rsid w:val="00912145"/>
    <w:rsid w:val="009431C8"/>
    <w:rsid w:val="009634C6"/>
    <w:rsid w:val="009648DF"/>
    <w:rsid w:val="009A4754"/>
    <w:rsid w:val="009B3811"/>
    <w:rsid w:val="009C4A1E"/>
    <w:rsid w:val="009D15C9"/>
    <w:rsid w:val="009D488B"/>
    <w:rsid w:val="009D49DD"/>
    <w:rsid w:val="00A02476"/>
    <w:rsid w:val="00A04717"/>
    <w:rsid w:val="00A22917"/>
    <w:rsid w:val="00A24F7B"/>
    <w:rsid w:val="00A3675E"/>
    <w:rsid w:val="00A422D6"/>
    <w:rsid w:val="00A4334D"/>
    <w:rsid w:val="00A466BD"/>
    <w:rsid w:val="00A9618E"/>
    <w:rsid w:val="00AA70D7"/>
    <w:rsid w:val="00AD720F"/>
    <w:rsid w:val="00AE1354"/>
    <w:rsid w:val="00AE5C1E"/>
    <w:rsid w:val="00AF6B4E"/>
    <w:rsid w:val="00AF7BF7"/>
    <w:rsid w:val="00B353E8"/>
    <w:rsid w:val="00B36967"/>
    <w:rsid w:val="00B51D1C"/>
    <w:rsid w:val="00B615B9"/>
    <w:rsid w:val="00B61D6B"/>
    <w:rsid w:val="00B819C7"/>
    <w:rsid w:val="00B84F11"/>
    <w:rsid w:val="00B876E3"/>
    <w:rsid w:val="00BC1C1E"/>
    <w:rsid w:val="00BE5880"/>
    <w:rsid w:val="00C30681"/>
    <w:rsid w:val="00C429A1"/>
    <w:rsid w:val="00C816B2"/>
    <w:rsid w:val="00CA09ED"/>
    <w:rsid w:val="00CA470F"/>
    <w:rsid w:val="00CB5B95"/>
    <w:rsid w:val="00CB67EB"/>
    <w:rsid w:val="00CC05E2"/>
    <w:rsid w:val="00CE661B"/>
    <w:rsid w:val="00CE7EC2"/>
    <w:rsid w:val="00D3061D"/>
    <w:rsid w:val="00D31CA9"/>
    <w:rsid w:val="00D353CD"/>
    <w:rsid w:val="00D36AB1"/>
    <w:rsid w:val="00D566E5"/>
    <w:rsid w:val="00DA1A65"/>
    <w:rsid w:val="00DC09BF"/>
    <w:rsid w:val="00DC2F1A"/>
    <w:rsid w:val="00DD6482"/>
    <w:rsid w:val="00DF24B1"/>
    <w:rsid w:val="00E02877"/>
    <w:rsid w:val="00E2060E"/>
    <w:rsid w:val="00E226E8"/>
    <w:rsid w:val="00E300D2"/>
    <w:rsid w:val="00E46FA5"/>
    <w:rsid w:val="00E53AE8"/>
    <w:rsid w:val="00E61455"/>
    <w:rsid w:val="00E61F69"/>
    <w:rsid w:val="00E70DEA"/>
    <w:rsid w:val="00E73CCC"/>
    <w:rsid w:val="00E857F9"/>
    <w:rsid w:val="00EA5F94"/>
    <w:rsid w:val="00EC4691"/>
    <w:rsid w:val="00ED311A"/>
    <w:rsid w:val="00F11E23"/>
    <w:rsid w:val="00F40E62"/>
    <w:rsid w:val="00F44F3C"/>
    <w:rsid w:val="00F609AE"/>
    <w:rsid w:val="00F74EB0"/>
    <w:rsid w:val="00F75272"/>
    <w:rsid w:val="00F86953"/>
    <w:rsid w:val="00FA2EFB"/>
    <w:rsid w:val="00FA7ADB"/>
    <w:rsid w:val="00FB29D7"/>
    <w:rsid w:val="00FD4ED0"/>
    <w:rsid w:val="00FE1085"/>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qFormat/>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table" w:styleId="TableGrid">
    <w:name w:val="Table Grid"/>
    <w:basedOn w:val="TableNormal"/>
    <w:uiPriority w:val="59"/>
    <w:rsid w:val="00DA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30"/>
    <w:pPr>
      <w:ind w:left="720"/>
      <w:contextualSpacing/>
    </w:pPr>
  </w:style>
  <w:style w:type="paragraph" w:styleId="EndnoteText">
    <w:name w:val="endnote text"/>
    <w:aliases w:val="Endnote Text 12"/>
    <w:basedOn w:val="Normal"/>
    <w:link w:val="EndnoteTextChar"/>
    <w:uiPriority w:val="99"/>
    <w:qFormat/>
    <w:rsid w:val="00493622"/>
    <w:pPr>
      <w:spacing w:before="120" w:after="120" w:line="240" w:lineRule="auto"/>
      <w:ind w:left="432" w:hanging="432"/>
    </w:pPr>
    <w:rPr>
      <w:rFonts w:ascii="Times New Roman" w:hAnsi="Times New Roman" w:cs="Times New Roman"/>
      <w:sz w:val="24"/>
      <w:szCs w:val="20"/>
    </w:rPr>
  </w:style>
  <w:style w:type="character" w:customStyle="1" w:styleId="EndnoteTextChar">
    <w:name w:val="Endnote Text Char"/>
    <w:aliases w:val="Endnote Text 12 Char"/>
    <w:basedOn w:val="DefaultParagraphFont"/>
    <w:link w:val="EndnoteText"/>
    <w:uiPriority w:val="99"/>
    <w:rsid w:val="00493622"/>
    <w:rPr>
      <w:rFonts w:ascii="Times New Roman" w:hAnsi="Times New Roman" w:cs="Times New Roman"/>
      <w:sz w:val="24"/>
      <w:szCs w:val="20"/>
    </w:rPr>
  </w:style>
  <w:style w:type="character" w:styleId="EndnoteReference">
    <w:name w:val="endnote reference"/>
    <w:basedOn w:val="DefaultParagraphFont"/>
    <w:uiPriority w:val="99"/>
    <w:unhideWhenUsed/>
    <w:qFormat/>
    <w:rsid w:val="00184F80"/>
    <w:rPr>
      <w:rFonts w:ascii="Times New Roman" w:hAnsi="Times New Roman"/>
      <w:b/>
      <w:sz w:val="28"/>
      <w:vertAlign w:val="superscript"/>
    </w:rPr>
  </w:style>
  <w:style w:type="table" w:customStyle="1" w:styleId="TableGrid1">
    <w:name w:val="Table Grid1"/>
    <w:basedOn w:val="TableNormal"/>
    <w:next w:val="TableGrid"/>
    <w:uiPriority w:val="59"/>
    <w:rsid w:val="006C5ABE"/>
    <w:pPr>
      <w:spacing w:before="120"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LegalQuote">
    <w:name w:val="Legal Quote"/>
    <w:qFormat/>
    <w:rsid w:val="008752D4"/>
    <w:pPr>
      <w:autoSpaceDE w:val="0"/>
      <w:autoSpaceDN w:val="0"/>
      <w:adjustRightInd w:val="0"/>
      <w:spacing w:before="240" w:after="240" w:line="240" w:lineRule="auto"/>
      <w:ind w:left="720" w:right="720"/>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C3353"/>
    <w:rPr>
      <w:sz w:val="16"/>
      <w:szCs w:val="16"/>
    </w:rPr>
  </w:style>
  <w:style w:type="paragraph" w:styleId="CommentText">
    <w:name w:val="annotation text"/>
    <w:basedOn w:val="Normal"/>
    <w:link w:val="CommentTextChar"/>
    <w:uiPriority w:val="99"/>
    <w:semiHidden/>
    <w:unhideWhenUsed/>
    <w:rsid w:val="004C3353"/>
    <w:pPr>
      <w:spacing w:line="240" w:lineRule="auto"/>
    </w:pPr>
    <w:rPr>
      <w:sz w:val="20"/>
      <w:szCs w:val="20"/>
    </w:rPr>
  </w:style>
  <w:style w:type="character" w:customStyle="1" w:styleId="CommentTextChar">
    <w:name w:val="Comment Text Char"/>
    <w:basedOn w:val="DefaultParagraphFont"/>
    <w:link w:val="CommentText"/>
    <w:uiPriority w:val="99"/>
    <w:semiHidden/>
    <w:rsid w:val="004C3353"/>
    <w:rPr>
      <w:sz w:val="20"/>
      <w:szCs w:val="20"/>
    </w:rPr>
  </w:style>
  <w:style w:type="paragraph" w:styleId="CommentSubject">
    <w:name w:val="annotation subject"/>
    <w:basedOn w:val="CommentText"/>
    <w:next w:val="CommentText"/>
    <w:link w:val="CommentSubjectChar"/>
    <w:uiPriority w:val="99"/>
    <w:semiHidden/>
    <w:unhideWhenUsed/>
    <w:rsid w:val="004C3353"/>
    <w:rPr>
      <w:b/>
      <w:bCs/>
    </w:rPr>
  </w:style>
  <w:style w:type="character" w:customStyle="1" w:styleId="CommentSubjectChar">
    <w:name w:val="Comment Subject Char"/>
    <w:basedOn w:val="CommentTextChar"/>
    <w:link w:val="CommentSubject"/>
    <w:uiPriority w:val="99"/>
    <w:semiHidden/>
    <w:rsid w:val="004C3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B692-EA5F-458F-BBC0-9AED192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3</cp:revision>
  <cp:lastPrinted>2021-07-02T17:55:00Z</cp:lastPrinted>
  <dcterms:created xsi:type="dcterms:W3CDTF">2022-06-18T03:47:00Z</dcterms:created>
  <dcterms:modified xsi:type="dcterms:W3CDTF">2022-06-18T03:48:00Z</dcterms:modified>
</cp:coreProperties>
</file>