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0005D34D" w:rsidR="00555CD3" w:rsidRPr="00555CD3" w:rsidRDefault="00112051" w:rsidP="00555CD3">
      <w:pPr>
        <w:spacing w:after="200" w:line="480" w:lineRule="auto"/>
        <w:jc w:val="center"/>
        <w:rPr>
          <w:rFonts w:eastAsia="Times New Roman" w:cs="Times New Roman"/>
          <w:b/>
          <w:sz w:val="28"/>
          <w:szCs w:val="28"/>
        </w:rPr>
      </w:pPr>
      <w:bookmarkStart w:id="0" w:name="_Hlk111203407"/>
      <w:r>
        <w:rPr>
          <w:rFonts w:eastAsia="Times New Roman" w:cs="Times New Roman"/>
          <w:b/>
          <w:sz w:val="28"/>
          <w:szCs w:val="28"/>
        </w:rPr>
        <w:t>RANDOM LAW UPDATES</w:t>
      </w:r>
      <w:r w:rsidR="001B3891">
        <w:rPr>
          <w:rFonts w:eastAsia="Times New Roman" w:cs="Times New Roman"/>
          <w:b/>
          <w:sz w:val="28"/>
          <w:szCs w:val="28"/>
        </w:rPr>
        <w:t xml:space="preserve"> – </w:t>
      </w:r>
      <w:r w:rsidR="00594B8C">
        <w:rPr>
          <w:rFonts w:eastAsia="Times New Roman" w:cs="Times New Roman"/>
          <w:b/>
          <w:sz w:val="28"/>
          <w:szCs w:val="28"/>
        </w:rPr>
        <w:t>EVIDENCE</w:t>
      </w:r>
      <w:r w:rsidR="001B3891">
        <w:rPr>
          <w:rFonts w:eastAsia="Times New Roman" w:cs="Times New Roman"/>
          <w:b/>
          <w:sz w:val="28"/>
          <w:szCs w:val="28"/>
        </w:rPr>
        <w:t xml:space="preserve"> ISSUES-</w:t>
      </w:r>
      <w:r w:rsidR="00555CD3" w:rsidRPr="00555CD3">
        <w:rPr>
          <w:rFonts w:eastAsia="Times New Roman" w:cs="Times New Roman"/>
          <w:b/>
          <w:sz w:val="28"/>
          <w:szCs w:val="28"/>
        </w:rPr>
        <w:t xml:space="preserve"> EPISODE NOTES</w:t>
      </w:r>
    </w:p>
    <w:p w14:paraId="2D4ADD93" w14:textId="57733EE9" w:rsidR="00555CD3" w:rsidRDefault="00594B8C" w:rsidP="00555CD3">
      <w:pPr>
        <w:spacing w:after="200" w:line="480" w:lineRule="auto"/>
        <w:rPr>
          <w:rFonts w:eastAsia="Times New Roman" w:cs="Times New Roman"/>
          <w:bCs/>
          <w:sz w:val="28"/>
          <w:szCs w:val="28"/>
        </w:rPr>
      </w:pPr>
      <w:r>
        <w:rPr>
          <w:rFonts w:eastAsia="Times New Roman" w:cs="Times New Roman"/>
          <w:bCs/>
          <w:sz w:val="28"/>
          <w:szCs w:val="28"/>
        </w:rPr>
        <w:t>As we mentioned in a prior episode, w</w:t>
      </w:r>
      <w:r w:rsidR="00112051">
        <w:rPr>
          <w:rFonts w:eastAsia="Times New Roman" w:cs="Times New Roman"/>
          <w:bCs/>
          <w:sz w:val="28"/>
          <w:szCs w:val="28"/>
        </w:rPr>
        <w:t>e recently attended the summer conference for Superior Court judges</w:t>
      </w:r>
      <w:r w:rsidR="000D13BF">
        <w:rPr>
          <w:rFonts w:eastAsia="Times New Roman" w:cs="Times New Roman"/>
          <w:bCs/>
          <w:sz w:val="28"/>
          <w:szCs w:val="28"/>
        </w:rPr>
        <w:t>.  One of our talented presenters was Mr. Parag Shah, a has-been lawyer and current CEO of Miles Mediation.  He provided a very informative session dealing with evidence law.</w:t>
      </w:r>
    </w:p>
    <w:p w14:paraId="7B415425" w14:textId="5A120EE1" w:rsidR="000D13BF" w:rsidRDefault="000D13BF" w:rsidP="00555CD3">
      <w:pPr>
        <w:spacing w:after="200" w:line="480" w:lineRule="auto"/>
        <w:rPr>
          <w:rFonts w:eastAsia="Times New Roman" w:cs="Times New Roman"/>
          <w:bCs/>
          <w:sz w:val="28"/>
          <w:szCs w:val="28"/>
        </w:rPr>
      </w:pPr>
      <w:r>
        <w:rPr>
          <w:rFonts w:eastAsia="Times New Roman" w:cs="Times New Roman"/>
          <w:bCs/>
          <w:sz w:val="28"/>
          <w:szCs w:val="28"/>
        </w:rPr>
        <w:t>To be fair, Parag tried a very long trial before me back when I was a judge of the Augusta Circuit and I noted then that he was a very talented lawyer with a great appreciation for the rules of evidence.  Although that trial caused him to quit the practice of law, Parag has continued to remain abreast of the latest evidence topics and does a great job presenting.</w:t>
      </w:r>
    </w:p>
    <w:p w14:paraId="2D96FFCB" w14:textId="5DCF2770" w:rsidR="001B3891" w:rsidRDefault="000D13BF" w:rsidP="00555CD3">
      <w:pPr>
        <w:spacing w:after="200" w:line="480" w:lineRule="auto"/>
        <w:rPr>
          <w:rFonts w:eastAsia="Times New Roman" w:cs="Times New Roman"/>
          <w:bCs/>
          <w:sz w:val="28"/>
          <w:szCs w:val="28"/>
        </w:rPr>
      </w:pPr>
      <w:r>
        <w:rPr>
          <w:rFonts w:eastAsia="Times New Roman" w:cs="Times New Roman"/>
          <w:bCs/>
          <w:sz w:val="28"/>
          <w:szCs w:val="28"/>
        </w:rPr>
        <w:t xml:space="preserve">Today’s episode is dedicated to some recent developments in evidence law that we think may prove valuable to judges and others involved in the </w:t>
      </w:r>
      <w:r w:rsidR="00F24F1F">
        <w:rPr>
          <w:rFonts w:eastAsia="Times New Roman" w:cs="Times New Roman"/>
          <w:bCs/>
          <w:sz w:val="28"/>
          <w:szCs w:val="28"/>
        </w:rPr>
        <w:t>trial of cases throughout Georgia.</w:t>
      </w:r>
    </w:p>
    <w:p w14:paraId="052D26E9" w14:textId="688A6D73" w:rsidR="001E6C37" w:rsidRDefault="001E6C37" w:rsidP="00555CD3">
      <w:pPr>
        <w:spacing w:after="200" w:line="480" w:lineRule="auto"/>
        <w:rPr>
          <w:rFonts w:eastAsia="Times New Roman" w:cs="Times New Roman"/>
          <w:bCs/>
          <w:sz w:val="28"/>
          <w:szCs w:val="28"/>
        </w:rPr>
      </w:pPr>
      <w:r>
        <w:rPr>
          <w:rFonts w:eastAsia="Times New Roman" w:cs="Times New Roman"/>
          <w:bCs/>
          <w:sz w:val="28"/>
          <w:szCs w:val="28"/>
        </w:rPr>
        <w:t xml:space="preserve">We will do our best to </w:t>
      </w:r>
      <w:r w:rsidR="001B3891">
        <w:rPr>
          <w:rFonts w:eastAsia="Times New Roman" w:cs="Times New Roman"/>
          <w:bCs/>
          <w:sz w:val="28"/>
          <w:szCs w:val="28"/>
        </w:rPr>
        <w:t>separate out</w:t>
      </w:r>
      <w:r>
        <w:rPr>
          <w:rFonts w:eastAsia="Times New Roman" w:cs="Times New Roman"/>
          <w:bCs/>
          <w:sz w:val="28"/>
          <w:szCs w:val="28"/>
        </w:rPr>
        <w:t xml:space="preserve"> the topics as we proceed today</w:t>
      </w:r>
    </w:p>
    <w:p w14:paraId="3BCAC289" w14:textId="243AF297" w:rsidR="008E5841" w:rsidRDefault="008E5841" w:rsidP="00555CD3">
      <w:pPr>
        <w:spacing w:after="200" w:line="480" w:lineRule="auto"/>
        <w:rPr>
          <w:rFonts w:eastAsia="Times New Roman" w:cs="Times New Roman"/>
          <w:bCs/>
          <w:sz w:val="28"/>
          <w:szCs w:val="28"/>
        </w:rPr>
      </w:pPr>
      <w:r w:rsidRPr="00555CD3">
        <w:rPr>
          <w:rFonts w:eastAsia="Times New Roman" w:cs="Times New Roman"/>
          <w:b/>
          <w:sz w:val="28"/>
          <w:szCs w:val="28"/>
        </w:rPr>
        <w:pict w14:anchorId="222944A3">
          <v:rect id="_x0000_i1577" style="width:0;height:1.5pt" o:hralign="center" o:hrstd="t" o:hr="t" fillcolor="#a0a0a0" stroked="f"/>
        </w:pict>
      </w:r>
    </w:p>
    <w:p w14:paraId="3CC7CE11" w14:textId="02CCC52E" w:rsidR="001E6C37" w:rsidRDefault="00F24F1F" w:rsidP="000F68F1">
      <w:pPr>
        <w:keepNext/>
        <w:spacing w:after="200" w:line="480" w:lineRule="auto"/>
        <w:rPr>
          <w:rFonts w:eastAsia="Times New Roman" w:cs="Times New Roman"/>
          <w:b/>
          <w:sz w:val="28"/>
          <w:szCs w:val="28"/>
        </w:rPr>
      </w:pPr>
      <w:r>
        <w:rPr>
          <w:rFonts w:eastAsia="Times New Roman" w:cs="Times New Roman"/>
          <w:b/>
          <w:sz w:val="28"/>
          <w:szCs w:val="28"/>
        </w:rPr>
        <w:lastRenderedPageBreak/>
        <w:t xml:space="preserve">CONSCIOUSNESS OF GUILT – THE </w:t>
      </w:r>
      <w:r w:rsidR="00A53ECD">
        <w:rPr>
          <w:rFonts w:eastAsia="Times New Roman" w:cs="Times New Roman"/>
          <w:b/>
          <w:sz w:val="28"/>
          <w:szCs w:val="28"/>
        </w:rPr>
        <w:t>“NO INNCOCENT MAN FLEES” EVIDENCE</w:t>
      </w:r>
    </w:p>
    <w:p w14:paraId="04B51509" w14:textId="4693D03E" w:rsidR="00A53ECD" w:rsidRDefault="00A53ECD" w:rsidP="00555CD3">
      <w:pPr>
        <w:spacing w:after="200" w:line="480" w:lineRule="auto"/>
        <w:rPr>
          <w:rFonts w:eastAsia="Times New Roman" w:cs="Times New Roman"/>
          <w:bCs/>
          <w:sz w:val="28"/>
          <w:szCs w:val="28"/>
        </w:rPr>
      </w:pPr>
      <w:r>
        <w:rPr>
          <w:rFonts w:eastAsia="Times New Roman" w:cs="Times New Roman"/>
          <w:bCs/>
          <w:i/>
          <w:iCs/>
          <w:sz w:val="28"/>
          <w:szCs w:val="28"/>
        </w:rPr>
        <w:t>Harris v. State</w:t>
      </w:r>
      <w:r>
        <w:rPr>
          <w:rFonts w:eastAsia="Times New Roman" w:cs="Times New Roman"/>
          <w:bCs/>
          <w:sz w:val="28"/>
          <w:szCs w:val="28"/>
        </w:rPr>
        <w:t>, 313 Ga. 225 (2022)</w:t>
      </w:r>
      <w:r w:rsidR="005052B1">
        <w:rPr>
          <w:rFonts w:eastAsia="Times New Roman" w:cs="Times New Roman"/>
          <w:bCs/>
          <w:sz w:val="28"/>
          <w:szCs w:val="28"/>
        </w:rPr>
        <w:t xml:space="preserve"> – evidence is relevant under Rule 401, a fact we all know well.  In this felony murder case, there was evidence that the defendant was eventually located by law enforcement officers after the shooting and, when he was found, he barricaded himself in a room, armed with several weapons.  That evidence was admitted at trial with the trial court reasoning that the circumstances of the defendant’s arrest, including evidence of </w:t>
      </w:r>
      <w:r w:rsidR="00E3609E">
        <w:rPr>
          <w:rFonts w:eastAsia="Times New Roman" w:cs="Times New Roman"/>
          <w:bCs/>
          <w:sz w:val="28"/>
          <w:szCs w:val="28"/>
        </w:rPr>
        <w:t>guns and ammunition, were relevant to the defendant’s flight, his consciousness of guilt and “arm himself for the encounter with law enforcement.”</w:t>
      </w:r>
    </w:p>
    <w:p w14:paraId="2FA8AFB8" w14:textId="161B5A99" w:rsidR="00E3609E" w:rsidRDefault="00E3609E" w:rsidP="00555CD3">
      <w:pPr>
        <w:spacing w:after="200" w:line="480" w:lineRule="auto"/>
        <w:rPr>
          <w:rFonts w:eastAsia="Times New Roman" w:cs="Times New Roman"/>
          <w:bCs/>
          <w:sz w:val="28"/>
          <w:szCs w:val="28"/>
        </w:rPr>
      </w:pPr>
      <w:r>
        <w:rPr>
          <w:rFonts w:eastAsia="Times New Roman" w:cs="Times New Roman"/>
          <w:bCs/>
          <w:sz w:val="28"/>
          <w:szCs w:val="28"/>
        </w:rPr>
        <w:t>The Ga. Supreme Court noted, “</w:t>
      </w:r>
      <w:r w:rsidRPr="00E3609E">
        <w:rPr>
          <w:rFonts w:eastAsia="Times New Roman" w:cs="Times New Roman"/>
          <w:bCs/>
          <w:sz w:val="28"/>
          <w:szCs w:val="28"/>
        </w:rPr>
        <w:t>the Eleventh Circuit has explained that it is “universally conceded that the fact of an accused's flight, escape from custody, resistance to arrest, concealment, assumption of a false name, and related conduct, are admissible as evidence of consciousness of guilt, and thus of guilt itself.” </w:t>
      </w:r>
      <w:r w:rsidRPr="00E3609E">
        <w:rPr>
          <w:rFonts w:eastAsia="Times New Roman" w:cs="Times New Roman"/>
          <w:bCs/>
          <w:i/>
          <w:iCs/>
          <w:sz w:val="28"/>
          <w:szCs w:val="28"/>
        </w:rPr>
        <w:t>United States v. Borders</w:t>
      </w:r>
      <w:r w:rsidRPr="00E3609E">
        <w:rPr>
          <w:rFonts w:eastAsia="Times New Roman" w:cs="Times New Roman"/>
          <w:bCs/>
          <w:sz w:val="28"/>
          <w:szCs w:val="28"/>
        </w:rPr>
        <w:t>, 693 F.2d 1318, 1324 (11th Cir. 1982) (citation and punctuation omitted). See also </w:t>
      </w:r>
      <w:r w:rsidRPr="00E3609E">
        <w:rPr>
          <w:rFonts w:eastAsia="Times New Roman" w:cs="Times New Roman"/>
          <w:bCs/>
          <w:i/>
          <w:iCs/>
          <w:sz w:val="28"/>
          <w:szCs w:val="28"/>
        </w:rPr>
        <w:t>Rowland v. State</w:t>
      </w:r>
      <w:r w:rsidRPr="00E3609E">
        <w:rPr>
          <w:rFonts w:eastAsia="Times New Roman" w:cs="Times New Roman"/>
          <w:bCs/>
          <w:sz w:val="28"/>
          <w:szCs w:val="28"/>
        </w:rPr>
        <w:t>, 306 Ga. 59, 65 n.4, 829 S.E.2d 81 (2019)</w:t>
      </w:r>
      <w:r>
        <w:rPr>
          <w:rFonts w:eastAsia="Times New Roman" w:cs="Times New Roman"/>
          <w:bCs/>
          <w:sz w:val="28"/>
          <w:szCs w:val="28"/>
        </w:rPr>
        <w:t>.”</w:t>
      </w:r>
    </w:p>
    <w:p w14:paraId="326F536F" w14:textId="5AC727E2" w:rsidR="00E3609E" w:rsidRPr="000C1061" w:rsidRDefault="00E3609E" w:rsidP="00555CD3">
      <w:pPr>
        <w:spacing w:after="200" w:line="480" w:lineRule="auto"/>
        <w:rPr>
          <w:rFonts w:eastAsia="Times New Roman" w:cs="Times New Roman"/>
          <w:bCs/>
          <w:sz w:val="28"/>
          <w:szCs w:val="28"/>
        </w:rPr>
      </w:pPr>
      <w:r>
        <w:rPr>
          <w:rFonts w:eastAsia="Times New Roman" w:cs="Times New Roman"/>
          <w:bCs/>
          <w:i/>
          <w:iCs/>
          <w:sz w:val="28"/>
          <w:szCs w:val="28"/>
        </w:rPr>
        <w:lastRenderedPageBreak/>
        <w:t>NOTE-that does not mean you get a jury charge on flight</w:t>
      </w:r>
      <w:r w:rsidR="000C1061">
        <w:rPr>
          <w:rFonts w:eastAsia="Times New Roman" w:cs="Times New Roman"/>
          <w:bCs/>
          <w:i/>
          <w:iCs/>
          <w:sz w:val="28"/>
          <w:szCs w:val="28"/>
        </w:rPr>
        <w:t>.  See Renner v. State</w:t>
      </w:r>
      <w:r w:rsidR="000C1061">
        <w:rPr>
          <w:rFonts w:eastAsia="Times New Roman" w:cs="Times New Roman"/>
          <w:bCs/>
          <w:sz w:val="28"/>
          <w:szCs w:val="28"/>
        </w:rPr>
        <w:t>, 260 Ga. 515, 518 (1990)(“</w:t>
      </w:r>
      <w:r w:rsidR="000C1061" w:rsidRPr="000C1061">
        <w:rPr>
          <w:rFonts w:ascii="Source Sans Pro" w:hAnsi="Source Sans Pro"/>
          <w:color w:val="3D3D3D"/>
          <w:sz w:val="27"/>
          <w:szCs w:val="27"/>
          <w:shd w:val="clear" w:color="auto" w:fill="FFFFFF"/>
        </w:rPr>
        <w:t xml:space="preserve"> </w:t>
      </w:r>
      <w:r w:rsidR="000C1061" w:rsidRPr="000C1061">
        <w:rPr>
          <w:rFonts w:eastAsia="Times New Roman" w:cs="Times New Roman"/>
          <w:bCs/>
          <w:sz w:val="28"/>
          <w:szCs w:val="28"/>
        </w:rPr>
        <w:t>Hereafter,</w:t>
      </w:r>
      <w:r w:rsidR="000C1061" w:rsidRPr="000C1061">
        <w:rPr>
          <w:rFonts w:eastAsia="Times New Roman" w:cs="Times New Roman"/>
          <w:bCs/>
          <w:sz w:val="28"/>
          <w:szCs w:val="28"/>
        </w:rPr>
        <w:t xml:space="preserve"> </w:t>
      </w:r>
      <w:r w:rsidR="000C1061" w:rsidRPr="000C1061">
        <w:rPr>
          <w:rFonts w:eastAsia="Times New Roman" w:cs="Times New Roman"/>
          <w:bCs/>
          <w:sz w:val="28"/>
          <w:szCs w:val="28"/>
        </w:rPr>
        <w:t>while the state may offer evidence of and argue flight, it shall be error for a trial court in a criminal case to charge the jury on flight.</w:t>
      </w:r>
      <w:r w:rsidR="000C1061" w:rsidRPr="000C1061">
        <w:rPr>
          <w:rFonts w:eastAsia="Times New Roman" w:cs="Times New Roman"/>
          <w:bCs/>
          <w:sz w:val="28"/>
          <w:szCs w:val="28"/>
        </w:rPr>
        <w:t>”</w:t>
      </w:r>
      <w:r w:rsidR="000C1061">
        <w:rPr>
          <w:rFonts w:eastAsia="Times New Roman" w:cs="Times New Roman"/>
          <w:bCs/>
          <w:sz w:val="28"/>
          <w:szCs w:val="28"/>
        </w:rPr>
        <w:t>)</w:t>
      </w:r>
    </w:p>
    <w:p w14:paraId="25C056CA" w14:textId="5EF3DB93" w:rsidR="00A53ECD" w:rsidRPr="00A53ECD" w:rsidRDefault="00A53ECD" w:rsidP="00555CD3">
      <w:pPr>
        <w:spacing w:after="200" w:line="480" w:lineRule="auto"/>
        <w:rPr>
          <w:rFonts w:eastAsia="Times New Roman" w:cs="Times New Roman"/>
          <w:bCs/>
          <w:sz w:val="28"/>
          <w:szCs w:val="28"/>
        </w:rPr>
      </w:pPr>
      <w:r>
        <w:rPr>
          <w:rFonts w:eastAsia="Times New Roman" w:cs="Times New Roman"/>
          <w:bCs/>
          <w:sz w:val="28"/>
          <w:szCs w:val="28"/>
        </w:rPr>
        <w:t>“</w:t>
      </w:r>
      <w:r w:rsidRPr="00A53ECD">
        <w:rPr>
          <w:rFonts w:eastAsia="Times New Roman" w:cs="Times New Roman"/>
          <w:bCs/>
          <w:sz w:val="28"/>
          <w:szCs w:val="28"/>
        </w:rPr>
        <w:t>Here, the evidence related to Harris's attempt to evade arrest by barricading himself  in a room—evidence that included the handgun and ammunition that was found near Harris at the time of his arrest—had probative value because it suggested that Harris had a reason to evade law enforcement officers and therefore demonstrated Harris's consciousness of guilt. And in a circumstantial case like this one, the need for this type of evidence was greater because it provided an additional set of facts from which the jury was authorized to infer Harris's guilt.</w:t>
      </w:r>
      <w:r>
        <w:rPr>
          <w:rFonts w:eastAsia="Times New Roman" w:cs="Times New Roman"/>
          <w:bCs/>
          <w:sz w:val="28"/>
          <w:szCs w:val="28"/>
        </w:rPr>
        <w:t xml:space="preserve">”  </w:t>
      </w:r>
      <w:r>
        <w:rPr>
          <w:rFonts w:eastAsia="Times New Roman" w:cs="Times New Roman"/>
          <w:bCs/>
          <w:i/>
          <w:iCs/>
          <w:sz w:val="28"/>
          <w:szCs w:val="28"/>
        </w:rPr>
        <w:t>Harris</w:t>
      </w:r>
      <w:r>
        <w:rPr>
          <w:rFonts w:eastAsia="Times New Roman" w:cs="Times New Roman"/>
          <w:bCs/>
          <w:sz w:val="28"/>
          <w:szCs w:val="28"/>
        </w:rPr>
        <w:t>, at 232.</w:t>
      </w:r>
    </w:p>
    <w:p w14:paraId="3734E1F2" w14:textId="77777777" w:rsidR="00A53ECD" w:rsidRDefault="00A53ECD" w:rsidP="00555CD3">
      <w:pPr>
        <w:spacing w:after="200" w:line="480" w:lineRule="auto"/>
        <w:rPr>
          <w:rFonts w:eastAsia="Times New Roman" w:cs="Times New Roman"/>
          <w:b/>
          <w:sz w:val="28"/>
          <w:szCs w:val="28"/>
        </w:rPr>
      </w:pPr>
    </w:p>
    <w:p w14:paraId="2DE321EF" w14:textId="08CD7A71" w:rsidR="0052598B" w:rsidRPr="0052598B" w:rsidRDefault="0052598B" w:rsidP="00555CD3">
      <w:pPr>
        <w:spacing w:after="200" w:line="480" w:lineRule="auto"/>
        <w:rPr>
          <w:rFonts w:eastAsia="Times New Roman" w:cs="Times New Roman"/>
          <w:sz w:val="28"/>
          <w:szCs w:val="28"/>
        </w:rPr>
      </w:pPr>
      <w:r w:rsidRPr="00555CD3">
        <w:rPr>
          <w:rFonts w:eastAsia="Times New Roman" w:cs="Times New Roman"/>
          <w:b/>
          <w:sz w:val="28"/>
          <w:szCs w:val="28"/>
        </w:rPr>
        <w:pict w14:anchorId="65A512C2">
          <v:rect id="_x0000_i1579" style="width:0;height:1.5pt" o:hralign="center" o:hrstd="t" o:hr="t" fillcolor="#a0a0a0" stroked="f"/>
        </w:pict>
      </w:r>
    </w:p>
    <w:p w14:paraId="68522921" w14:textId="751CF70D" w:rsidR="0052598B" w:rsidRDefault="00890DE5" w:rsidP="001B3891">
      <w:pPr>
        <w:keepNext/>
        <w:spacing w:after="200" w:line="480" w:lineRule="auto"/>
        <w:rPr>
          <w:rFonts w:eastAsia="Times New Roman" w:cs="Times New Roman"/>
          <w:b/>
          <w:bCs/>
          <w:sz w:val="28"/>
          <w:szCs w:val="28"/>
        </w:rPr>
      </w:pPr>
      <w:r>
        <w:rPr>
          <w:rFonts w:eastAsia="Times New Roman" w:cs="Times New Roman"/>
          <w:b/>
          <w:bCs/>
          <w:sz w:val="28"/>
          <w:szCs w:val="28"/>
        </w:rPr>
        <w:t>RETURN TO 404(B) – KNOWLEDGE</w:t>
      </w:r>
    </w:p>
    <w:p w14:paraId="733E951F" w14:textId="1C9707B9" w:rsidR="00890DE5" w:rsidRDefault="00890DE5" w:rsidP="00AE7E1A">
      <w:pPr>
        <w:spacing w:after="200" w:line="480" w:lineRule="auto"/>
        <w:rPr>
          <w:rFonts w:eastAsia="Times New Roman" w:cs="Times New Roman"/>
          <w:sz w:val="28"/>
          <w:szCs w:val="28"/>
        </w:rPr>
      </w:pPr>
      <w:r>
        <w:rPr>
          <w:rFonts w:eastAsia="Times New Roman" w:cs="Times New Roman"/>
          <w:sz w:val="28"/>
          <w:szCs w:val="28"/>
        </w:rPr>
        <w:t>We have recorded episodes dealing with 404(B) and have more episodes planned in the future.  But we have a case that we think bears some isolated discussion.</w:t>
      </w:r>
    </w:p>
    <w:p w14:paraId="690FF49C" w14:textId="4618E7CA" w:rsidR="006F5FBD" w:rsidRDefault="006F5FBD" w:rsidP="001B3891">
      <w:pPr>
        <w:keepNext/>
        <w:spacing w:after="200" w:line="480" w:lineRule="auto"/>
        <w:rPr>
          <w:rFonts w:eastAsia="Times New Roman" w:cs="Times New Roman"/>
          <w:sz w:val="28"/>
          <w:szCs w:val="28"/>
        </w:rPr>
      </w:pPr>
      <w:r>
        <w:rPr>
          <w:rFonts w:eastAsia="Times New Roman" w:cs="Times New Roman"/>
          <w:sz w:val="28"/>
          <w:szCs w:val="28"/>
        </w:rPr>
        <w:lastRenderedPageBreak/>
        <w:t>Rule 404(b) provides, “</w:t>
      </w:r>
      <w:r w:rsidRPr="006F5FBD">
        <w:rPr>
          <w:rFonts w:eastAsia="Times New Roman" w:cs="Times New Roman"/>
          <w:sz w:val="28"/>
          <w:szCs w:val="28"/>
        </w:rPr>
        <w:t>Evidence of other crimes, wrongs, or acts shall not be admissible to prove the character of a person in order to show action in conformity therewith. It may, however, be admissible for other purposes, including, but not limited to, proof of motive, opportunity, intent, preparation, plan, knowledge, identity, or absence of mistake or accident....</w:t>
      </w:r>
      <w:r>
        <w:rPr>
          <w:rFonts w:eastAsia="Times New Roman" w:cs="Times New Roman"/>
          <w:sz w:val="28"/>
          <w:szCs w:val="28"/>
        </w:rPr>
        <w:t>”</w:t>
      </w:r>
    </w:p>
    <w:p w14:paraId="38FBA2FB" w14:textId="448100EE" w:rsidR="00890DE5" w:rsidRDefault="00890DE5" w:rsidP="001B3891">
      <w:pPr>
        <w:keepNext/>
        <w:spacing w:after="200" w:line="480" w:lineRule="auto"/>
        <w:rPr>
          <w:rFonts w:eastAsia="Times New Roman" w:cs="Times New Roman"/>
          <w:sz w:val="28"/>
          <w:szCs w:val="28"/>
        </w:rPr>
      </w:pPr>
      <w:r>
        <w:rPr>
          <w:rFonts w:eastAsia="Times New Roman" w:cs="Times New Roman"/>
          <w:sz w:val="28"/>
          <w:szCs w:val="28"/>
        </w:rPr>
        <w:t>Too often, evidence of extrinsic acts is offered in criminal trials and the prosecutor argues that the evidence should be admissible to prove [insert laundry list here]</w:t>
      </w:r>
    </w:p>
    <w:p w14:paraId="240D8E6B" w14:textId="5EF08961" w:rsidR="006F5FBD" w:rsidRDefault="006F5FBD" w:rsidP="001B3891">
      <w:pPr>
        <w:keepNext/>
        <w:spacing w:after="200" w:line="480" w:lineRule="auto"/>
        <w:rPr>
          <w:rFonts w:eastAsia="Times New Roman" w:cs="Times New Roman"/>
          <w:sz w:val="28"/>
          <w:szCs w:val="28"/>
        </w:rPr>
      </w:pPr>
      <w:r>
        <w:rPr>
          <w:rFonts w:eastAsia="Times New Roman" w:cs="Times New Roman"/>
          <w:sz w:val="28"/>
          <w:szCs w:val="28"/>
        </w:rPr>
        <w:t xml:space="preserve">We have discussed these exceptions to the rule against allowing character evidence in prior episodes so we will not restate all of those here.  But the recent case of </w:t>
      </w:r>
      <w:r>
        <w:rPr>
          <w:rFonts w:eastAsia="Times New Roman" w:cs="Times New Roman"/>
          <w:i/>
          <w:iCs/>
          <w:sz w:val="28"/>
          <w:szCs w:val="28"/>
        </w:rPr>
        <w:t>Wright v. State</w:t>
      </w:r>
      <w:r>
        <w:rPr>
          <w:rFonts w:eastAsia="Times New Roman" w:cs="Times New Roman"/>
          <w:sz w:val="28"/>
          <w:szCs w:val="28"/>
        </w:rPr>
        <w:t>, 362 Ga. App. 867 (2022) made an observation that we thought might prove helpful when the evidence of other crimes is offered to prove “knowledge.”</w:t>
      </w:r>
    </w:p>
    <w:p w14:paraId="4CD325C1" w14:textId="224EA56E" w:rsidR="006F5FBD" w:rsidRPr="00C12E86" w:rsidRDefault="006F5FBD" w:rsidP="00977B85">
      <w:pPr>
        <w:spacing w:after="200" w:line="480" w:lineRule="auto"/>
        <w:rPr>
          <w:rFonts w:eastAsia="Times New Roman" w:cs="Times New Roman"/>
          <w:sz w:val="28"/>
          <w:szCs w:val="28"/>
        </w:rPr>
      </w:pPr>
      <w:r>
        <w:rPr>
          <w:rFonts w:eastAsia="Times New Roman" w:cs="Times New Roman"/>
          <w:sz w:val="28"/>
          <w:szCs w:val="28"/>
        </w:rPr>
        <w:t xml:space="preserve">Prior cases have noted that the “knowledge” exception really only applies to </w:t>
      </w:r>
      <w:r w:rsidR="00977B85">
        <w:rPr>
          <w:rFonts w:eastAsia="Times New Roman" w:cs="Times New Roman"/>
          <w:sz w:val="28"/>
          <w:szCs w:val="28"/>
        </w:rPr>
        <w:t>unique skills such as safe-cracking, bomb-making, etc.  However, the “knowledge exception” is also applicable when specific factual knowledge is relevant in the case.  For example, where a defendant claims that he/she did not know that he/she were not allowed on the premises, evidence of a prior conviction for criminal trespass or burglary may well be admissible.</w:t>
      </w:r>
      <w:r w:rsidR="00C12E86">
        <w:rPr>
          <w:rFonts w:eastAsia="Times New Roman" w:cs="Times New Roman"/>
          <w:sz w:val="28"/>
          <w:szCs w:val="28"/>
        </w:rPr>
        <w:t xml:space="preserve">  Same is true when a defendant is </w:t>
      </w:r>
      <w:r w:rsidR="00C12E86">
        <w:rPr>
          <w:rFonts w:eastAsia="Times New Roman" w:cs="Times New Roman"/>
          <w:sz w:val="28"/>
          <w:szCs w:val="28"/>
        </w:rPr>
        <w:lastRenderedPageBreak/>
        <w:t xml:space="preserve">charged with reckless conduct and proof of the defendant’s HIV status is in question. </w:t>
      </w:r>
      <w:r w:rsidR="00C12E86">
        <w:rPr>
          <w:rFonts w:eastAsia="Times New Roman" w:cs="Times New Roman"/>
          <w:i/>
          <w:iCs/>
          <w:sz w:val="28"/>
          <w:szCs w:val="28"/>
        </w:rPr>
        <w:t>Green v. State</w:t>
      </w:r>
      <w:r w:rsidR="00C12E86">
        <w:rPr>
          <w:rFonts w:eastAsia="Times New Roman" w:cs="Times New Roman"/>
          <w:sz w:val="28"/>
          <w:szCs w:val="28"/>
        </w:rPr>
        <w:t>, 352 Ga. App. 284, 289 (2019).</w:t>
      </w:r>
    </w:p>
    <w:p w14:paraId="35490D4F" w14:textId="1C6D5AD8" w:rsidR="00977B85" w:rsidRPr="00842C08" w:rsidRDefault="00977B85" w:rsidP="001B3891">
      <w:pPr>
        <w:keepNext/>
        <w:spacing w:after="200" w:line="480" w:lineRule="auto"/>
        <w:rPr>
          <w:rFonts w:eastAsia="Times New Roman" w:cs="Times New Roman"/>
          <w:sz w:val="28"/>
          <w:szCs w:val="28"/>
        </w:rPr>
      </w:pPr>
      <w:r>
        <w:rPr>
          <w:rFonts w:eastAsia="Times New Roman" w:cs="Times New Roman"/>
          <w:sz w:val="28"/>
          <w:szCs w:val="28"/>
        </w:rPr>
        <w:t xml:space="preserve">The </w:t>
      </w:r>
      <w:r>
        <w:rPr>
          <w:rFonts w:eastAsia="Times New Roman" w:cs="Times New Roman"/>
          <w:i/>
          <w:iCs/>
          <w:sz w:val="28"/>
          <w:szCs w:val="28"/>
        </w:rPr>
        <w:t>Wright</w:t>
      </w:r>
      <w:r>
        <w:rPr>
          <w:rFonts w:eastAsia="Times New Roman" w:cs="Times New Roman"/>
          <w:sz w:val="28"/>
          <w:szCs w:val="28"/>
        </w:rPr>
        <w:t xml:space="preserve"> case added one additional circumstance when evidence of prior acts might be admissible under the knowledge exception.</w:t>
      </w:r>
      <w:r w:rsidR="00C12E86">
        <w:rPr>
          <w:rFonts w:eastAsia="Times New Roman" w:cs="Times New Roman"/>
          <w:sz w:val="28"/>
          <w:szCs w:val="28"/>
        </w:rPr>
        <w:t xml:space="preserve">  Where the defendant alleges he was unaware that a crime was being committed, the knowledge exception may well apply.  </w:t>
      </w:r>
      <w:r w:rsidR="00842C08">
        <w:rPr>
          <w:rFonts w:eastAsia="Times New Roman" w:cs="Times New Roman"/>
          <w:sz w:val="28"/>
          <w:szCs w:val="28"/>
        </w:rPr>
        <w:t>“</w:t>
      </w:r>
      <w:r w:rsidR="00842C08" w:rsidRPr="00842C08">
        <w:rPr>
          <w:rFonts w:eastAsia="Times New Roman" w:cs="Times New Roman"/>
          <w:sz w:val="28"/>
          <w:szCs w:val="28"/>
        </w:rPr>
        <w:t>Where NO special knowledge or talent is required to commit the charged crime, however, other acts should not be admitted simply to show that the defendant is “CAPABLE” of committing the charged offense.</w:t>
      </w:r>
      <w:r w:rsidR="00842C08">
        <w:rPr>
          <w:rFonts w:eastAsia="Times New Roman" w:cs="Times New Roman"/>
          <w:sz w:val="28"/>
          <w:szCs w:val="28"/>
        </w:rPr>
        <w:t xml:space="preserve">”  In </w:t>
      </w:r>
      <w:r w:rsidR="00C12E86">
        <w:rPr>
          <w:rFonts w:eastAsia="Times New Roman" w:cs="Times New Roman"/>
          <w:i/>
          <w:iCs/>
          <w:sz w:val="28"/>
          <w:szCs w:val="28"/>
        </w:rPr>
        <w:t>Wright</w:t>
      </w:r>
      <w:r w:rsidR="00C12E86">
        <w:rPr>
          <w:rFonts w:eastAsia="Times New Roman" w:cs="Times New Roman"/>
          <w:sz w:val="28"/>
          <w:szCs w:val="28"/>
        </w:rPr>
        <w:t xml:space="preserve">, the defendant denied ownership of the bag which contained a large amount of drugs – he didn’t deny knowing that drugs were inside the bag.  Instead, he denied knowing anything about </w:t>
      </w:r>
      <w:r w:rsidR="00842C08">
        <w:rPr>
          <w:rFonts w:eastAsia="Times New Roman" w:cs="Times New Roman"/>
          <w:sz w:val="28"/>
          <w:szCs w:val="28"/>
        </w:rPr>
        <w:t>the bag at all</w:t>
      </w:r>
      <w:r w:rsidR="00C12E86">
        <w:rPr>
          <w:rFonts w:eastAsia="Times New Roman" w:cs="Times New Roman"/>
          <w:sz w:val="28"/>
          <w:szCs w:val="28"/>
        </w:rPr>
        <w:t xml:space="preserve">.  The Court of Appeals held in </w:t>
      </w:r>
      <w:r w:rsidR="00C12E86">
        <w:rPr>
          <w:rFonts w:eastAsia="Times New Roman" w:cs="Times New Roman"/>
          <w:i/>
          <w:iCs/>
          <w:sz w:val="28"/>
          <w:szCs w:val="28"/>
        </w:rPr>
        <w:t>Wright</w:t>
      </w:r>
      <w:r w:rsidR="00C12E86">
        <w:rPr>
          <w:rFonts w:eastAsia="Times New Roman" w:cs="Times New Roman"/>
          <w:sz w:val="28"/>
          <w:szCs w:val="28"/>
        </w:rPr>
        <w:t xml:space="preserve"> that because </w:t>
      </w:r>
      <w:r w:rsidR="00842C08">
        <w:rPr>
          <w:rFonts w:eastAsia="Times New Roman" w:cs="Times New Roman"/>
          <w:sz w:val="28"/>
          <w:szCs w:val="28"/>
        </w:rPr>
        <w:t xml:space="preserve">the defendant denied ownership of the subject bag, that his prior conviction for drug possession was inadmissible in this drug possession case under the knowledge exception of Rule 404(b).  </w:t>
      </w:r>
      <w:r w:rsidR="00842C08">
        <w:rPr>
          <w:rFonts w:eastAsia="Times New Roman" w:cs="Times New Roman"/>
          <w:b/>
          <w:bCs/>
          <w:sz w:val="28"/>
          <w:szCs w:val="28"/>
        </w:rPr>
        <w:t>REVERSED.</w:t>
      </w:r>
    </w:p>
    <w:p w14:paraId="09D96D23" w14:textId="315547F2" w:rsidR="00DC24DA" w:rsidRDefault="00DC24DA" w:rsidP="00555CD3">
      <w:pPr>
        <w:spacing w:after="200" w:line="480" w:lineRule="auto"/>
        <w:rPr>
          <w:rFonts w:eastAsia="Times New Roman" w:cs="Times New Roman"/>
          <w:sz w:val="28"/>
          <w:szCs w:val="28"/>
        </w:rPr>
      </w:pPr>
      <w:r w:rsidRPr="00555CD3">
        <w:rPr>
          <w:rFonts w:eastAsia="Times New Roman" w:cs="Times New Roman"/>
          <w:b/>
          <w:sz w:val="28"/>
          <w:szCs w:val="28"/>
        </w:rPr>
        <w:pict w14:anchorId="018DA08F">
          <v:rect id="_x0000_i1580" style="width:0;height:1.5pt" o:hralign="center" o:hrstd="t" o:hr="t" fillcolor="#a0a0a0" stroked="f"/>
        </w:pict>
      </w:r>
    </w:p>
    <w:p w14:paraId="1FBC5C59" w14:textId="37565229" w:rsidR="00936031" w:rsidRDefault="00936031" w:rsidP="00AE7E1A">
      <w:pPr>
        <w:keepNext/>
        <w:spacing w:after="200" w:line="480" w:lineRule="auto"/>
        <w:rPr>
          <w:rFonts w:eastAsia="Times New Roman" w:cs="Times New Roman"/>
          <w:b/>
          <w:bCs/>
          <w:sz w:val="28"/>
          <w:szCs w:val="28"/>
        </w:rPr>
      </w:pPr>
      <w:r>
        <w:rPr>
          <w:rFonts w:eastAsia="Times New Roman" w:cs="Times New Roman"/>
          <w:b/>
          <w:bCs/>
          <w:sz w:val="28"/>
          <w:szCs w:val="28"/>
        </w:rPr>
        <w:lastRenderedPageBreak/>
        <w:t>WHAT MUST BE SHOWN TO INTRODUCE EVIDENCE THAT SOMEBODY ELSE DID IT?</w:t>
      </w:r>
      <w:r w:rsidR="00B408EF">
        <w:rPr>
          <w:rFonts w:eastAsia="Times New Roman" w:cs="Times New Roman"/>
          <w:b/>
          <w:bCs/>
          <w:sz w:val="28"/>
          <w:szCs w:val="28"/>
        </w:rPr>
        <w:t xml:space="preserve">  (a/k/a reverse 404(b) evidence?)</w:t>
      </w:r>
    </w:p>
    <w:p w14:paraId="39A33A3F" w14:textId="33C70064" w:rsidR="00936031" w:rsidRDefault="00936031" w:rsidP="005C3462">
      <w:pPr>
        <w:spacing w:after="200" w:line="480" w:lineRule="auto"/>
        <w:rPr>
          <w:rFonts w:eastAsia="Times New Roman" w:cs="Times New Roman"/>
          <w:sz w:val="28"/>
          <w:szCs w:val="28"/>
        </w:rPr>
      </w:pPr>
      <w:r>
        <w:rPr>
          <w:rFonts w:eastAsia="Times New Roman" w:cs="Times New Roman"/>
          <w:sz w:val="28"/>
          <w:szCs w:val="28"/>
        </w:rPr>
        <w:t>Here at the Good Judge-</w:t>
      </w:r>
      <w:proofErr w:type="spellStart"/>
      <w:r>
        <w:rPr>
          <w:rFonts w:eastAsia="Times New Roman" w:cs="Times New Roman"/>
          <w:sz w:val="28"/>
          <w:szCs w:val="28"/>
        </w:rPr>
        <w:t>Ment</w:t>
      </w:r>
      <w:proofErr w:type="spellEnd"/>
      <w:r>
        <w:rPr>
          <w:rFonts w:eastAsia="Times New Roman" w:cs="Times New Roman"/>
          <w:sz w:val="28"/>
          <w:szCs w:val="28"/>
        </w:rPr>
        <w:t xml:space="preserve"> Podcast, we are big fans of podcasts in general, especially those real crime </w:t>
      </w:r>
      <w:r w:rsidR="009938AC">
        <w:rPr>
          <w:rFonts w:eastAsia="Times New Roman" w:cs="Times New Roman"/>
          <w:sz w:val="28"/>
          <w:szCs w:val="28"/>
        </w:rPr>
        <w:t>podcasts.  Often, they discuss trials and note that the trial judge did not allow evidence that someone other than the defendant committed the crime during their criminal trial.  We have often wondered if Georgia had similar law and, lo and behold, we have an answer.</w:t>
      </w:r>
    </w:p>
    <w:p w14:paraId="7466DBDC" w14:textId="7859E089" w:rsidR="009938AC" w:rsidRDefault="009938AC" w:rsidP="005C3462">
      <w:pPr>
        <w:spacing w:after="200" w:line="480" w:lineRule="auto"/>
        <w:rPr>
          <w:rFonts w:eastAsia="Times New Roman" w:cs="Times New Roman"/>
          <w:sz w:val="28"/>
          <w:szCs w:val="28"/>
        </w:rPr>
      </w:pPr>
      <w:r>
        <w:rPr>
          <w:rFonts w:eastAsia="Times New Roman" w:cs="Times New Roman"/>
          <w:sz w:val="28"/>
          <w:szCs w:val="28"/>
        </w:rPr>
        <w:t xml:space="preserve">In </w:t>
      </w:r>
      <w:proofErr w:type="spellStart"/>
      <w:r>
        <w:rPr>
          <w:rFonts w:eastAsia="Times New Roman" w:cs="Times New Roman"/>
          <w:i/>
          <w:iCs/>
          <w:sz w:val="28"/>
          <w:szCs w:val="28"/>
        </w:rPr>
        <w:t>Hounkpatin</w:t>
      </w:r>
      <w:proofErr w:type="spellEnd"/>
      <w:r>
        <w:rPr>
          <w:rFonts w:eastAsia="Times New Roman" w:cs="Times New Roman"/>
          <w:i/>
          <w:iCs/>
          <w:sz w:val="28"/>
          <w:szCs w:val="28"/>
        </w:rPr>
        <w:t xml:space="preserve"> v. State</w:t>
      </w:r>
      <w:r>
        <w:rPr>
          <w:rFonts w:eastAsia="Times New Roman" w:cs="Times New Roman"/>
          <w:sz w:val="28"/>
          <w:szCs w:val="28"/>
        </w:rPr>
        <w:t xml:space="preserve">, </w:t>
      </w:r>
      <w:r w:rsidR="00B408EF">
        <w:rPr>
          <w:rFonts w:eastAsia="Times New Roman" w:cs="Times New Roman"/>
          <w:sz w:val="28"/>
          <w:szCs w:val="28"/>
        </w:rPr>
        <w:t>__</w:t>
      </w:r>
      <w:r>
        <w:rPr>
          <w:rFonts w:eastAsia="Times New Roman" w:cs="Times New Roman"/>
          <w:sz w:val="28"/>
          <w:szCs w:val="28"/>
        </w:rPr>
        <w:t xml:space="preserve"> Ga. </w:t>
      </w:r>
      <w:r w:rsidR="00B408EF">
        <w:rPr>
          <w:rFonts w:eastAsia="Times New Roman" w:cs="Times New Roman"/>
          <w:sz w:val="28"/>
          <w:szCs w:val="28"/>
        </w:rPr>
        <w:t>__, 873 S.E.2d 201</w:t>
      </w:r>
      <w:r>
        <w:rPr>
          <w:rFonts w:eastAsia="Times New Roman" w:cs="Times New Roman"/>
          <w:sz w:val="28"/>
          <w:szCs w:val="28"/>
        </w:rPr>
        <w:t xml:space="preserve"> (2022), the Ga. Supreme Court held that before a defendant can offer evidence that a third party committed the crime, two things must be shown:</w:t>
      </w:r>
    </w:p>
    <w:p w14:paraId="61B2B878" w14:textId="77777777" w:rsidR="009938AC" w:rsidRDefault="009938AC" w:rsidP="005C3462">
      <w:pPr>
        <w:spacing w:after="200" w:line="480" w:lineRule="auto"/>
        <w:rPr>
          <w:rFonts w:eastAsia="Times New Roman" w:cs="Times New Roman"/>
          <w:sz w:val="28"/>
          <w:szCs w:val="28"/>
        </w:rPr>
      </w:pPr>
      <w:r w:rsidRPr="009938AC">
        <w:rPr>
          <w:rFonts w:eastAsia="Times New Roman" w:cs="Times New Roman"/>
          <w:sz w:val="28"/>
          <w:szCs w:val="28"/>
        </w:rPr>
        <w:t xml:space="preserve">1. The proffered evidence must raise a reasonable inference of the defendant’s innocence, AND </w:t>
      </w:r>
    </w:p>
    <w:p w14:paraId="52FDF223" w14:textId="03819484" w:rsidR="009938AC" w:rsidRDefault="009938AC" w:rsidP="005C3462">
      <w:pPr>
        <w:spacing w:after="200" w:line="480" w:lineRule="auto"/>
        <w:rPr>
          <w:rFonts w:eastAsia="Times New Roman" w:cs="Times New Roman"/>
          <w:sz w:val="28"/>
          <w:szCs w:val="28"/>
        </w:rPr>
      </w:pPr>
      <w:r w:rsidRPr="009938AC">
        <w:rPr>
          <w:rFonts w:eastAsia="Times New Roman" w:cs="Times New Roman"/>
          <w:sz w:val="28"/>
          <w:szCs w:val="28"/>
        </w:rPr>
        <w:t>2. Must directly connect the other person with the corpus delicti, OR show that the other person has recently committed a crime of the same or similar nature</w:t>
      </w:r>
      <w:r w:rsidR="00B408EF">
        <w:rPr>
          <w:rFonts w:eastAsia="Times New Roman" w:cs="Times New Roman"/>
          <w:sz w:val="28"/>
          <w:szCs w:val="28"/>
        </w:rPr>
        <w:t>.</w:t>
      </w:r>
    </w:p>
    <w:p w14:paraId="1D2B316B" w14:textId="6B08D35C" w:rsidR="00B408EF" w:rsidRPr="00924522" w:rsidRDefault="00B408EF" w:rsidP="005C3462">
      <w:pPr>
        <w:spacing w:after="200" w:line="480" w:lineRule="auto"/>
        <w:rPr>
          <w:rFonts w:eastAsia="Times New Roman" w:cs="Times New Roman"/>
          <w:sz w:val="28"/>
          <w:szCs w:val="28"/>
        </w:rPr>
      </w:pPr>
      <w:r>
        <w:rPr>
          <w:rFonts w:eastAsia="Times New Roman" w:cs="Times New Roman"/>
          <w:sz w:val="28"/>
          <w:szCs w:val="28"/>
        </w:rPr>
        <w:t xml:space="preserve">In </w:t>
      </w:r>
      <w:proofErr w:type="spellStart"/>
      <w:r>
        <w:rPr>
          <w:rFonts w:eastAsia="Times New Roman" w:cs="Times New Roman"/>
          <w:i/>
          <w:iCs/>
          <w:sz w:val="28"/>
          <w:szCs w:val="28"/>
        </w:rPr>
        <w:t>Hounkpatin</w:t>
      </w:r>
      <w:proofErr w:type="spellEnd"/>
      <w:r>
        <w:rPr>
          <w:rFonts w:eastAsia="Times New Roman" w:cs="Times New Roman"/>
          <w:sz w:val="28"/>
          <w:szCs w:val="28"/>
        </w:rPr>
        <w:t xml:space="preserve">, the defendant was charged with killing a child </w:t>
      </w:r>
      <w:r w:rsidR="00924522">
        <w:rPr>
          <w:rFonts w:eastAsia="Times New Roman" w:cs="Times New Roman"/>
          <w:sz w:val="28"/>
          <w:szCs w:val="28"/>
        </w:rPr>
        <w:t xml:space="preserve">by essentially squeezing the child to death.  At trial, the </w:t>
      </w:r>
      <w:r w:rsidR="00924522">
        <w:rPr>
          <w:rFonts w:eastAsia="Times New Roman" w:cs="Times New Roman"/>
          <w:sz w:val="28"/>
          <w:szCs w:val="28"/>
          <w:u w:val="single"/>
        </w:rPr>
        <w:t>defendant</w:t>
      </w:r>
      <w:r w:rsidR="00924522">
        <w:rPr>
          <w:rFonts w:eastAsia="Times New Roman" w:cs="Times New Roman"/>
          <w:sz w:val="28"/>
          <w:szCs w:val="28"/>
        </w:rPr>
        <w:t xml:space="preserve"> wanted to introduce evidence that the other children had abused the deceased child.  (There was pretrial notice).  The trial court allowed the defendant to testify about other incidents between the </w:t>
      </w:r>
      <w:r w:rsidR="00924522">
        <w:rPr>
          <w:rFonts w:eastAsia="Times New Roman" w:cs="Times New Roman"/>
          <w:sz w:val="28"/>
          <w:szCs w:val="28"/>
        </w:rPr>
        <w:lastRenderedPageBreak/>
        <w:t>children but did not allow DFCS records which allegedly recounted objective findings of acts by the other children against the deceased.</w:t>
      </w:r>
      <w:r w:rsidR="00F51956">
        <w:rPr>
          <w:rFonts w:eastAsia="Times New Roman" w:cs="Times New Roman"/>
          <w:sz w:val="28"/>
          <w:szCs w:val="28"/>
        </w:rPr>
        <w:t xml:space="preserve">  The appellate court noted that none of the incidents recounted in the DFCS records were remotely similar to the acts that gave rise to the victim’s death and none of the incidents included in the records occurred near in time to the child’s death.</w:t>
      </w:r>
    </w:p>
    <w:p w14:paraId="2C94D666" w14:textId="6BE990F9" w:rsidR="00D56882" w:rsidRDefault="00D56882" w:rsidP="005C3462">
      <w:pPr>
        <w:spacing w:after="200" w:line="480" w:lineRule="auto"/>
        <w:rPr>
          <w:rFonts w:eastAsia="Times New Roman" w:cs="Times New Roman"/>
          <w:sz w:val="28"/>
          <w:szCs w:val="28"/>
        </w:rPr>
      </w:pPr>
      <w:r w:rsidRPr="00555CD3">
        <w:rPr>
          <w:rFonts w:eastAsia="Times New Roman" w:cs="Times New Roman"/>
          <w:b/>
          <w:sz w:val="28"/>
          <w:szCs w:val="28"/>
        </w:rPr>
        <w:pict w14:anchorId="5B01B780">
          <v:rect id="_x0000_i1590" style="width:0;height:1.5pt" o:hralign="center" o:hrstd="t" o:hr="t" fillcolor="#a0a0a0" stroked="f"/>
        </w:pict>
      </w:r>
    </w:p>
    <w:p w14:paraId="2F53E2F1" w14:textId="791552BB" w:rsidR="006E3884" w:rsidRDefault="00F51956" w:rsidP="005C3462">
      <w:pPr>
        <w:spacing w:after="200" w:line="480" w:lineRule="auto"/>
        <w:rPr>
          <w:rFonts w:eastAsia="Times New Roman" w:cs="Times New Roman"/>
          <w:b/>
          <w:bCs/>
          <w:sz w:val="28"/>
          <w:szCs w:val="28"/>
        </w:rPr>
      </w:pPr>
      <w:r>
        <w:rPr>
          <w:rFonts w:eastAsia="Times New Roman" w:cs="Times New Roman"/>
          <w:b/>
          <w:bCs/>
          <w:sz w:val="28"/>
          <w:szCs w:val="28"/>
        </w:rPr>
        <w:t xml:space="preserve">IMPEACHMENT </w:t>
      </w:r>
      <w:r>
        <w:rPr>
          <w:rFonts w:eastAsia="Times New Roman" w:cs="Times New Roman"/>
          <w:b/>
          <w:bCs/>
          <w:sz w:val="28"/>
          <w:szCs w:val="28"/>
          <w:u w:val="single"/>
        </w:rPr>
        <w:t>OF DEFENDANT</w:t>
      </w:r>
      <w:r>
        <w:rPr>
          <w:rFonts w:eastAsia="Times New Roman" w:cs="Times New Roman"/>
          <w:b/>
          <w:bCs/>
          <w:sz w:val="28"/>
          <w:szCs w:val="28"/>
        </w:rPr>
        <w:t xml:space="preserve"> WITH PRIOR CONVICTIONS – THE DIFFERENCE BETWEEN RULE 609(a)(1) and (a)(2).</w:t>
      </w:r>
    </w:p>
    <w:p w14:paraId="4213C25A" w14:textId="5C408E75" w:rsidR="00F51956" w:rsidRDefault="002D1905" w:rsidP="005C3462">
      <w:pPr>
        <w:spacing w:after="200" w:line="480" w:lineRule="auto"/>
        <w:rPr>
          <w:rFonts w:eastAsia="Times New Roman" w:cs="Times New Roman"/>
          <w:sz w:val="28"/>
          <w:szCs w:val="28"/>
        </w:rPr>
      </w:pPr>
      <w:r>
        <w:rPr>
          <w:rFonts w:eastAsia="Times New Roman" w:cs="Times New Roman"/>
          <w:sz w:val="28"/>
          <w:szCs w:val="28"/>
        </w:rPr>
        <w:t xml:space="preserve">O.C.G.A. § 24-6-609(a)(1) begins by noting that evidence of prior convictions can be used to impeach any witness </w:t>
      </w:r>
      <w:r w:rsidRPr="002D1905">
        <w:rPr>
          <w:rFonts w:eastAsia="Times New Roman" w:cs="Times New Roman"/>
          <w:sz w:val="28"/>
          <w:szCs w:val="28"/>
          <w:u w:val="single"/>
        </w:rPr>
        <w:t>EXCEPT THE ACCUSED</w:t>
      </w:r>
      <w:r>
        <w:rPr>
          <w:rFonts w:eastAsia="Times New Roman" w:cs="Times New Roman"/>
          <w:sz w:val="28"/>
          <w:szCs w:val="28"/>
          <w:u w:val="single"/>
        </w:rPr>
        <w:t xml:space="preserve"> IN A CRIMINAL CASE</w:t>
      </w:r>
      <w:r>
        <w:rPr>
          <w:rFonts w:eastAsia="Times New Roman" w:cs="Times New Roman"/>
          <w:sz w:val="28"/>
          <w:szCs w:val="28"/>
        </w:rPr>
        <w:t>.  The rule then goes on to note that the trial court must perform a Rule 403 analysis and sets forth additional parameters concerning the use of prior convictions to impeach a witness.</w:t>
      </w:r>
    </w:p>
    <w:p w14:paraId="59EC3A2B" w14:textId="36197A6D" w:rsidR="002D1905" w:rsidRDefault="002D1905" w:rsidP="005C3462">
      <w:pPr>
        <w:spacing w:after="200" w:line="480" w:lineRule="auto"/>
        <w:rPr>
          <w:rFonts w:eastAsia="Times New Roman" w:cs="Times New Roman"/>
          <w:sz w:val="28"/>
          <w:szCs w:val="28"/>
        </w:rPr>
      </w:pPr>
      <w:r>
        <w:rPr>
          <w:rFonts w:eastAsia="Times New Roman" w:cs="Times New Roman"/>
          <w:sz w:val="28"/>
          <w:szCs w:val="28"/>
        </w:rPr>
        <w:t>Rule 609(a)(2) says that any witness (including the accused) can be impeached by a criminal conviction involving a crime of dishonesty.</w:t>
      </w:r>
    </w:p>
    <w:p w14:paraId="0A7A7B85" w14:textId="20C83E30" w:rsidR="00722E77" w:rsidRDefault="00722E77" w:rsidP="005C3462">
      <w:pPr>
        <w:spacing w:after="200" w:line="480" w:lineRule="auto"/>
        <w:rPr>
          <w:rFonts w:eastAsia="Times New Roman" w:cs="Times New Roman"/>
          <w:sz w:val="28"/>
          <w:szCs w:val="28"/>
        </w:rPr>
      </w:pPr>
      <w:r>
        <w:rPr>
          <w:rFonts w:eastAsia="Times New Roman" w:cs="Times New Roman"/>
          <w:sz w:val="28"/>
          <w:szCs w:val="28"/>
        </w:rPr>
        <w:t>Not to get sidetracked, both subsections require a 403 analysis and have time constraints.</w:t>
      </w:r>
    </w:p>
    <w:p w14:paraId="3D0682BE" w14:textId="0821FC0C" w:rsidR="00722E77" w:rsidRDefault="00722E77" w:rsidP="005C3462">
      <w:pPr>
        <w:spacing w:after="200" w:line="480" w:lineRule="auto"/>
        <w:rPr>
          <w:rFonts w:eastAsia="Times New Roman" w:cs="Times New Roman"/>
          <w:sz w:val="28"/>
          <w:szCs w:val="28"/>
        </w:rPr>
      </w:pPr>
      <w:r>
        <w:rPr>
          <w:rFonts w:eastAsia="Times New Roman" w:cs="Times New Roman"/>
          <w:sz w:val="28"/>
          <w:szCs w:val="28"/>
        </w:rPr>
        <w:lastRenderedPageBreak/>
        <w:t xml:space="preserve">We recently had a whole episode on impeachment and you may be asking yourself why we are revisiting this issue?  Well, the holding in </w:t>
      </w:r>
      <w:r>
        <w:rPr>
          <w:rFonts w:eastAsia="Times New Roman" w:cs="Times New Roman"/>
          <w:i/>
          <w:iCs/>
          <w:sz w:val="28"/>
          <w:szCs w:val="28"/>
        </w:rPr>
        <w:t>Robinson v. State</w:t>
      </w:r>
      <w:r>
        <w:rPr>
          <w:rFonts w:eastAsia="Times New Roman" w:cs="Times New Roman"/>
          <w:sz w:val="28"/>
          <w:szCs w:val="28"/>
        </w:rPr>
        <w:t>, 359 Ga. App. 38 (2022) made us want to stress a point.</w:t>
      </w:r>
    </w:p>
    <w:p w14:paraId="1ACF034C" w14:textId="05382D29" w:rsidR="00722E77" w:rsidRDefault="00722E77" w:rsidP="005C3462">
      <w:pPr>
        <w:spacing w:after="200" w:line="480" w:lineRule="auto"/>
        <w:rPr>
          <w:rFonts w:eastAsia="Times New Roman" w:cs="Times New Roman"/>
          <w:sz w:val="28"/>
          <w:szCs w:val="28"/>
        </w:rPr>
      </w:pPr>
      <w:r>
        <w:rPr>
          <w:rFonts w:eastAsia="Times New Roman" w:cs="Times New Roman"/>
          <w:sz w:val="28"/>
          <w:szCs w:val="28"/>
        </w:rPr>
        <w:t xml:space="preserve">In </w:t>
      </w:r>
      <w:r>
        <w:rPr>
          <w:rFonts w:eastAsia="Times New Roman" w:cs="Times New Roman"/>
          <w:i/>
          <w:iCs/>
          <w:sz w:val="28"/>
          <w:szCs w:val="28"/>
        </w:rPr>
        <w:t>Robinson</w:t>
      </w:r>
      <w:r>
        <w:rPr>
          <w:rFonts w:eastAsia="Times New Roman" w:cs="Times New Roman"/>
          <w:sz w:val="28"/>
          <w:szCs w:val="28"/>
        </w:rPr>
        <w:t xml:space="preserve">, the state wanted to impeach the defendant with evidence that he previously was convicted of the crime of burglary.  The prosecutor argued that it was offered under subsection (a)(2) as a crime of dishonesty.  In so doing, the trial court did not perform the required balancing test mandated for any impeachment evidence offered under subsection (a)(1).  Instead, the trial judge agreed that burglary qualified as a crime of dishonesty and allowed the evidence.  </w:t>
      </w:r>
      <w:r>
        <w:rPr>
          <w:rFonts w:eastAsia="Times New Roman" w:cs="Times New Roman"/>
          <w:b/>
          <w:bCs/>
          <w:sz w:val="28"/>
          <w:szCs w:val="28"/>
        </w:rPr>
        <w:t>REVERSED.</w:t>
      </w:r>
    </w:p>
    <w:p w14:paraId="57291E1D" w14:textId="0A004C00" w:rsidR="00722E77" w:rsidRDefault="00085829" w:rsidP="005C3462">
      <w:pPr>
        <w:spacing w:after="200" w:line="480" w:lineRule="auto"/>
        <w:rPr>
          <w:rFonts w:eastAsia="Times New Roman" w:cs="Times New Roman"/>
          <w:sz w:val="28"/>
          <w:szCs w:val="28"/>
        </w:rPr>
      </w:pPr>
      <w:r>
        <w:rPr>
          <w:rFonts w:eastAsia="Times New Roman" w:cs="Times New Roman"/>
          <w:sz w:val="28"/>
          <w:szCs w:val="28"/>
        </w:rPr>
        <w:t>There was no evidence at trial that the prior burglary involved in this case was accomplished with the use of deceit or false statements and, as a general rule, burglary is not a crime of dishonesty.</w:t>
      </w:r>
    </w:p>
    <w:p w14:paraId="487049DB" w14:textId="6EC57F01" w:rsidR="00085829" w:rsidRDefault="00085829" w:rsidP="005C3462">
      <w:pPr>
        <w:spacing w:after="200" w:line="480" w:lineRule="auto"/>
        <w:rPr>
          <w:rFonts w:eastAsia="Times New Roman" w:cs="Times New Roman"/>
          <w:sz w:val="28"/>
          <w:szCs w:val="28"/>
        </w:rPr>
      </w:pPr>
      <w:r>
        <w:rPr>
          <w:rFonts w:eastAsia="Times New Roman" w:cs="Times New Roman"/>
          <w:sz w:val="28"/>
          <w:szCs w:val="28"/>
        </w:rPr>
        <w:t>For those interested in what balancing test is required to admit a prior conviction for impeachment</w:t>
      </w:r>
      <w:r w:rsidR="00157A8B">
        <w:rPr>
          <w:rFonts w:eastAsia="Times New Roman" w:cs="Times New Roman"/>
          <w:sz w:val="28"/>
          <w:szCs w:val="28"/>
        </w:rPr>
        <w:t xml:space="preserve"> when the witness to be impeached is the defendant on trial</w:t>
      </w:r>
      <w:r>
        <w:rPr>
          <w:rFonts w:eastAsia="Times New Roman" w:cs="Times New Roman"/>
          <w:sz w:val="28"/>
          <w:szCs w:val="28"/>
        </w:rPr>
        <w:t xml:space="preserve">, the </w:t>
      </w:r>
      <w:r>
        <w:rPr>
          <w:rFonts w:eastAsia="Times New Roman" w:cs="Times New Roman"/>
          <w:i/>
          <w:iCs/>
          <w:sz w:val="28"/>
          <w:szCs w:val="28"/>
        </w:rPr>
        <w:t xml:space="preserve">Robinson </w:t>
      </w:r>
      <w:r>
        <w:rPr>
          <w:rFonts w:eastAsia="Times New Roman" w:cs="Times New Roman"/>
          <w:sz w:val="28"/>
          <w:szCs w:val="28"/>
        </w:rPr>
        <w:t xml:space="preserve">court set out </w:t>
      </w:r>
      <w:r w:rsidR="00157A8B">
        <w:rPr>
          <w:rFonts w:eastAsia="Times New Roman" w:cs="Times New Roman"/>
          <w:sz w:val="28"/>
          <w:szCs w:val="28"/>
        </w:rPr>
        <w:t xml:space="preserve">the test </w:t>
      </w:r>
      <w:r>
        <w:rPr>
          <w:rFonts w:eastAsia="Times New Roman" w:cs="Times New Roman"/>
          <w:sz w:val="28"/>
          <w:szCs w:val="28"/>
        </w:rPr>
        <w:t>in plain terms:</w:t>
      </w:r>
    </w:p>
    <w:p w14:paraId="4D394AFA" w14:textId="24B060EE" w:rsidR="00085829" w:rsidRDefault="00085829" w:rsidP="00085829">
      <w:pPr>
        <w:pStyle w:val="ListParagraph"/>
        <w:numPr>
          <w:ilvl w:val="0"/>
          <w:numId w:val="4"/>
        </w:numPr>
        <w:spacing w:after="200" w:line="480" w:lineRule="auto"/>
        <w:rPr>
          <w:rFonts w:eastAsia="Times New Roman" w:cs="Times New Roman"/>
          <w:sz w:val="28"/>
          <w:szCs w:val="28"/>
        </w:rPr>
      </w:pPr>
      <w:r>
        <w:rPr>
          <w:rFonts w:eastAsia="Times New Roman" w:cs="Times New Roman"/>
          <w:sz w:val="28"/>
          <w:szCs w:val="28"/>
        </w:rPr>
        <w:t>Kind of felony and its impeachment value</w:t>
      </w:r>
    </w:p>
    <w:p w14:paraId="1D83456F" w14:textId="69D8756A" w:rsidR="00085829" w:rsidRDefault="00085829" w:rsidP="00085829">
      <w:pPr>
        <w:pStyle w:val="ListParagraph"/>
        <w:numPr>
          <w:ilvl w:val="0"/>
          <w:numId w:val="4"/>
        </w:numPr>
        <w:spacing w:after="200" w:line="480" w:lineRule="auto"/>
        <w:rPr>
          <w:rFonts w:eastAsia="Times New Roman" w:cs="Times New Roman"/>
          <w:sz w:val="28"/>
          <w:szCs w:val="28"/>
        </w:rPr>
      </w:pPr>
      <w:r>
        <w:rPr>
          <w:rFonts w:eastAsia="Times New Roman" w:cs="Times New Roman"/>
          <w:sz w:val="28"/>
          <w:szCs w:val="28"/>
        </w:rPr>
        <w:t>Time of conviction and defendant’s subsequent history</w:t>
      </w:r>
    </w:p>
    <w:p w14:paraId="301D5447" w14:textId="4B2F78DA" w:rsidR="00085829" w:rsidRDefault="00085829" w:rsidP="00085829">
      <w:pPr>
        <w:pStyle w:val="ListParagraph"/>
        <w:numPr>
          <w:ilvl w:val="0"/>
          <w:numId w:val="4"/>
        </w:numPr>
        <w:spacing w:after="200" w:line="480" w:lineRule="auto"/>
        <w:rPr>
          <w:rFonts w:eastAsia="Times New Roman" w:cs="Times New Roman"/>
          <w:sz w:val="28"/>
          <w:szCs w:val="28"/>
        </w:rPr>
      </w:pPr>
      <w:r>
        <w:rPr>
          <w:rFonts w:eastAsia="Times New Roman" w:cs="Times New Roman"/>
          <w:sz w:val="28"/>
          <w:szCs w:val="28"/>
        </w:rPr>
        <w:lastRenderedPageBreak/>
        <w:t>Similarity between past crime and charged crime</w:t>
      </w:r>
    </w:p>
    <w:p w14:paraId="773C0E1F" w14:textId="76FDBAFD" w:rsidR="00085829" w:rsidRDefault="00085829" w:rsidP="00085829">
      <w:pPr>
        <w:pStyle w:val="ListParagraph"/>
        <w:numPr>
          <w:ilvl w:val="0"/>
          <w:numId w:val="4"/>
        </w:numPr>
        <w:spacing w:after="200" w:line="480" w:lineRule="auto"/>
        <w:rPr>
          <w:rFonts w:eastAsia="Times New Roman" w:cs="Times New Roman"/>
          <w:sz w:val="28"/>
          <w:szCs w:val="28"/>
        </w:rPr>
      </w:pPr>
      <w:r>
        <w:rPr>
          <w:rFonts w:eastAsia="Times New Roman" w:cs="Times New Roman"/>
          <w:sz w:val="28"/>
          <w:szCs w:val="28"/>
        </w:rPr>
        <w:t>Importance of defendant’s testimony</w:t>
      </w:r>
    </w:p>
    <w:p w14:paraId="7EFB761D" w14:textId="4C7974D8" w:rsidR="00085829" w:rsidRDefault="00085829" w:rsidP="00085829">
      <w:pPr>
        <w:pStyle w:val="ListParagraph"/>
        <w:numPr>
          <w:ilvl w:val="0"/>
          <w:numId w:val="4"/>
        </w:numPr>
        <w:spacing w:after="200" w:line="480" w:lineRule="auto"/>
        <w:rPr>
          <w:rFonts w:eastAsia="Times New Roman" w:cs="Times New Roman"/>
          <w:sz w:val="28"/>
          <w:szCs w:val="28"/>
        </w:rPr>
      </w:pPr>
      <w:r>
        <w:rPr>
          <w:rFonts w:eastAsia="Times New Roman" w:cs="Times New Roman"/>
          <w:sz w:val="28"/>
          <w:szCs w:val="28"/>
        </w:rPr>
        <w:t>Centrality of the credibility issue.</w:t>
      </w:r>
    </w:p>
    <w:p w14:paraId="6A845BEE" w14:textId="264E93C8" w:rsidR="00E06C95" w:rsidRPr="00E06C95" w:rsidRDefault="00E06C95" w:rsidP="00E06C95">
      <w:pPr>
        <w:spacing w:after="200" w:line="480" w:lineRule="auto"/>
        <w:rPr>
          <w:rFonts w:eastAsia="Times New Roman" w:cs="Times New Roman"/>
          <w:sz w:val="28"/>
          <w:szCs w:val="28"/>
        </w:rPr>
      </w:pPr>
      <w:r w:rsidRPr="00555CD3">
        <w:rPr>
          <w:rFonts w:eastAsia="Times New Roman" w:cs="Times New Roman"/>
          <w:b/>
          <w:sz w:val="28"/>
          <w:szCs w:val="28"/>
        </w:rPr>
        <w:pict w14:anchorId="4E72D47D">
          <v:rect id="_x0000_i1594" style="width:0;height:1.5pt" o:hralign="center" o:hrstd="t" o:hr="t" fillcolor="#a0a0a0" stroked="f"/>
        </w:pict>
      </w:r>
    </w:p>
    <w:p w14:paraId="155AEE1C" w14:textId="4B816565" w:rsidR="00E06C95" w:rsidRPr="00E06C95" w:rsidRDefault="00E06C95" w:rsidP="00E06C95">
      <w:pPr>
        <w:spacing w:after="200" w:line="480" w:lineRule="auto"/>
        <w:rPr>
          <w:rFonts w:eastAsia="Times New Roman" w:cs="Times New Roman"/>
          <w:b/>
          <w:bCs/>
          <w:sz w:val="28"/>
          <w:szCs w:val="28"/>
        </w:rPr>
      </w:pPr>
      <w:r>
        <w:rPr>
          <w:rFonts w:eastAsia="Times New Roman" w:cs="Times New Roman"/>
          <w:b/>
          <w:bCs/>
          <w:sz w:val="28"/>
          <w:szCs w:val="28"/>
        </w:rPr>
        <w:t>LAY WITNESS OPINION AS TO AUTHENTICITY OF WRITING</w:t>
      </w:r>
    </w:p>
    <w:p w14:paraId="511F2554" w14:textId="601BDF21" w:rsidR="00E06C95" w:rsidRDefault="00E06C95" w:rsidP="00E06C95">
      <w:pPr>
        <w:spacing w:after="200" w:line="480" w:lineRule="auto"/>
        <w:rPr>
          <w:rFonts w:eastAsia="Times New Roman" w:cs="Times New Roman"/>
          <w:sz w:val="28"/>
          <w:szCs w:val="28"/>
        </w:rPr>
      </w:pPr>
      <w:r>
        <w:rPr>
          <w:rFonts w:eastAsia="Times New Roman" w:cs="Times New Roman"/>
          <w:sz w:val="28"/>
          <w:szCs w:val="28"/>
        </w:rPr>
        <w:t xml:space="preserve">In </w:t>
      </w:r>
      <w:r>
        <w:rPr>
          <w:rFonts w:eastAsia="Times New Roman" w:cs="Times New Roman"/>
          <w:i/>
          <w:iCs/>
          <w:sz w:val="28"/>
          <w:szCs w:val="28"/>
        </w:rPr>
        <w:t>Spillers v. Brinson</w:t>
      </w:r>
      <w:r>
        <w:rPr>
          <w:rFonts w:eastAsia="Times New Roman" w:cs="Times New Roman"/>
          <w:sz w:val="28"/>
          <w:szCs w:val="28"/>
        </w:rPr>
        <w:t xml:space="preserve">, 361 Ga. App. 771 (2021), there was a will contest, contesting the authenticity of the decedent’s signature.  In opposition to summary judgment, </w:t>
      </w:r>
      <w:r w:rsidR="00C96151">
        <w:rPr>
          <w:rFonts w:eastAsia="Times New Roman" w:cs="Times New Roman"/>
          <w:sz w:val="28"/>
          <w:szCs w:val="28"/>
        </w:rPr>
        <w:t>the sister of the deceased testator testified that the signature on the document was not the signature of her sister.  In a lengthy opinion discussing Rule 701 and 901, the Court of Appeals noted that Rule 701 allows non-expert testimony</w:t>
      </w:r>
      <w:r w:rsidR="008B58A3">
        <w:rPr>
          <w:rFonts w:eastAsia="Times New Roman" w:cs="Times New Roman"/>
          <w:sz w:val="28"/>
          <w:szCs w:val="28"/>
        </w:rPr>
        <w:t xml:space="preserve"> on material facts.  In discussing Rule 901, the Court of Appeals noted that non-expert testimony is admissible on the issue of genuineness of handwriting, based upon familiarity not acquired for purposes of litigation.  We have included this case in today’s episode because of an interesting observation in this decision.</w:t>
      </w:r>
    </w:p>
    <w:p w14:paraId="284BD366" w14:textId="7DC2B929" w:rsidR="008B58A3" w:rsidRPr="00E06C95" w:rsidRDefault="008B58A3" w:rsidP="00E06C95">
      <w:pPr>
        <w:spacing w:after="200" w:line="480" w:lineRule="auto"/>
        <w:rPr>
          <w:rFonts w:eastAsia="Times New Roman" w:cs="Times New Roman"/>
          <w:sz w:val="28"/>
          <w:szCs w:val="28"/>
        </w:rPr>
      </w:pPr>
      <w:r>
        <w:rPr>
          <w:rFonts w:eastAsia="Times New Roman" w:cs="Times New Roman"/>
          <w:sz w:val="28"/>
          <w:szCs w:val="28"/>
        </w:rPr>
        <w:t>Remember, the evidence was offered by the decedent’s sister to refute her deceased sister’s signature on a change of beneficiary form.  The Court of Appeals noted, “</w:t>
      </w:r>
      <w:r w:rsidRPr="008B58A3">
        <w:rPr>
          <w:rFonts w:eastAsia="Times New Roman" w:cs="Times New Roman"/>
          <w:sz w:val="28"/>
          <w:szCs w:val="28"/>
        </w:rPr>
        <w:t xml:space="preserve">the lay opinion testimony in this case is not being offered to </w:t>
      </w:r>
      <w:r w:rsidRPr="007A6522">
        <w:rPr>
          <w:rFonts w:eastAsia="Times New Roman" w:cs="Times New Roman"/>
          <w:sz w:val="28"/>
          <w:szCs w:val="28"/>
          <w:u w:val="single"/>
        </w:rPr>
        <w:t>authenticate</w:t>
      </w:r>
      <w:r w:rsidRPr="008B58A3">
        <w:rPr>
          <w:rFonts w:eastAsia="Times New Roman" w:cs="Times New Roman"/>
          <w:sz w:val="28"/>
          <w:szCs w:val="28"/>
        </w:rPr>
        <w:t xml:space="preserve"> a piece of evidence. It is being offered to </w:t>
      </w:r>
      <w:r w:rsidRPr="008B58A3">
        <w:rPr>
          <w:rFonts w:eastAsia="Times New Roman" w:cs="Times New Roman"/>
          <w:i/>
          <w:iCs/>
          <w:sz w:val="28"/>
          <w:szCs w:val="28"/>
        </w:rPr>
        <w:t>challenge</w:t>
      </w:r>
      <w:r w:rsidRPr="008B58A3">
        <w:rPr>
          <w:rFonts w:eastAsia="Times New Roman" w:cs="Times New Roman"/>
          <w:sz w:val="28"/>
          <w:szCs w:val="28"/>
        </w:rPr>
        <w:t xml:space="preserve"> the authenticity of a document </w:t>
      </w:r>
      <w:r w:rsidRPr="008B58A3">
        <w:rPr>
          <w:rFonts w:eastAsia="Times New Roman" w:cs="Times New Roman"/>
          <w:sz w:val="28"/>
          <w:szCs w:val="28"/>
        </w:rPr>
        <w:lastRenderedPageBreak/>
        <w:t>relied upon by the estate — the change-of-beneficiary form. But it is not apparent from the plain language of </w:t>
      </w:r>
      <w:r w:rsidRPr="007A6522">
        <w:rPr>
          <w:rFonts w:eastAsia="Times New Roman" w:cs="Times New Roman"/>
          <w:sz w:val="28"/>
          <w:szCs w:val="28"/>
        </w:rPr>
        <w:t>OCGA § 24-9-901</w:t>
      </w:r>
      <w:r w:rsidRPr="008B58A3">
        <w:rPr>
          <w:rFonts w:eastAsia="Times New Roman" w:cs="Times New Roman"/>
          <w:sz w:val="28"/>
          <w:szCs w:val="28"/>
        </w:rPr>
        <w:t> that that Code Section governs the admissibility of evidence offered to challenge a document's authenticity.</w:t>
      </w:r>
      <w:r w:rsidR="007A6522">
        <w:rPr>
          <w:rFonts w:eastAsia="Times New Roman" w:cs="Times New Roman"/>
          <w:sz w:val="28"/>
          <w:szCs w:val="28"/>
        </w:rPr>
        <w:t>”</w:t>
      </w:r>
    </w:p>
    <w:p w14:paraId="2C5E79B4" w14:textId="77777777" w:rsidR="00555CD3" w:rsidRPr="00555CD3" w:rsidRDefault="00555CD3" w:rsidP="00555CD3">
      <w:pPr>
        <w:spacing w:after="200" w:line="480" w:lineRule="auto"/>
        <w:rPr>
          <w:rFonts w:eastAsia="Times New Roman" w:cs="Times New Roman"/>
          <w:b/>
          <w:sz w:val="28"/>
          <w:szCs w:val="28"/>
        </w:rPr>
      </w:pPr>
      <w:r w:rsidRPr="00555CD3">
        <w:rPr>
          <w:rFonts w:eastAsia="Times New Roman" w:cs="Times New Roman"/>
          <w:b/>
          <w:sz w:val="28"/>
          <w:szCs w:val="28"/>
        </w:rPr>
        <w:pict w14:anchorId="01961E6D">
          <v:rect id="_x0000_i1422" style="width:0;height:1.5pt" o:hralign="center" o:hrstd="t" o:hr="t" fillcolor="#a0a0a0" stroked="f"/>
        </w:pict>
      </w:r>
    </w:p>
    <w:p w14:paraId="3F6FCA54" w14:textId="3193B6B0" w:rsidR="00555CD3" w:rsidRDefault="00AE7E1A" w:rsidP="002E356A">
      <w:pPr>
        <w:keepNext/>
        <w:spacing w:line="480" w:lineRule="auto"/>
        <w:textAlignment w:val="baseline"/>
        <w:rPr>
          <w:rFonts w:eastAsia="Times New Roman" w:cs="Times New Roman"/>
          <w:bCs/>
          <w:sz w:val="28"/>
          <w:szCs w:val="28"/>
        </w:rPr>
      </w:pPr>
      <w:r>
        <w:rPr>
          <w:rFonts w:eastAsia="Times New Roman" w:cs="Times New Roman"/>
          <w:bCs/>
          <w:sz w:val="28"/>
          <w:szCs w:val="28"/>
        </w:rPr>
        <w:t>Turning now to our favorite evidence issue – HEARSAY.</w:t>
      </w:r>
    </w:p>
    <w:p w14:paraId="796615DA" w14:textId="3FA5D9F9" w:rsidR="007A6522" w:rsidRDefault="007A6522" w:rsidP="002E356A">
      <w:pPr>
        <w:keepNext/>
        <w:spacing w:line="480" w:lineRule="auto"/>
        <w:textAlignment w:val="baseline"/>
        <w:rPr>
          <w:rFonts w:eastAsia="Times New Roman" w:cs="Times New Roman"/>
          <w:bCs/>
          <w:sz w:val="28"/>
          <w:szCs w:val="28"/>
        </w:rPr>
      </w:pPr>
      <w:r w:rsidRPr="00555CD3">
        <w:rPr>
          <w:rFonts w:eastAsia="Times New Roman" w:cs="Times New Roman"/>
          <w:b/>
          <w:sz w:val="28"/>
          <w:szCs w:val="28"/>
        </w:rPr>
        <w:pict w14:anchorId="7A8AF354">
          <v:rect id="_x0000_i1595" style="width:0;height:1.5pt" o:hralign="center" o:hrstd="t" o:hr="t" fillcolor="#a0a0a0" stroked="f"/>
        </w:pict>
      </w:r>
    </w:p>
    <w:p w14:paraId="3FBF8EC3" w14:textId="3AC5CC9D" w:rsidR="007A6522" w:rsidRDefault="007A6522" w:rsidP="002E356A">
      <w:pPr>
        <w:keepNext/>
        <w:spacing w:line="480" w:lineRule="auto"/>
        <w:textAlignment w:val="baseline"/>
        <w:rPr>
          <w:rFonts w:eastAsia="Times New Roman" w:cs="Times New Roman"/>
          <w:b/>
          <w:sz w:val="28"/>
          <w:szCs w:val="28"/>
        </w:rPr>
      </w:pPr>
      <w:r>
        <w:rPr>
          <w:rFonts w:eastAsia="Times New Roman" w:cs="Times New Roman"/>
          <w:b/>
          <w:sz w:val="28"/>
          <w:szCs w:val="28"/>
        </w:rPr>
        <w:t>HEARSAY – CO-CONSPIRATOR STATEMENTS</w:t>
      </w:r>
    </w:p>
    <w:p w14:paraId="51477801" w14:textId="31ACB2CC" w:rsidR="007A6522" w:rsidRDefault="007A6522" w:rsidP="002E356A">
      <w:pPr>
        <w:keepNext/>
        <w:spacing w:line="480" w:lineRule="auto"/>
        <w:textAlignment w:val="baseline"/>
        <w:rPr>
          <w:rFonts w:eastAsia="Times New Roman" w:cs="Times New Roman"/>
          <w:bCs/>
          <w:sz w:val="28"/>
          <w:szCs w:val="28"/>
        </w:rPr>
      </w:pPr>
      <w:r>
        <w:rPr>
          <w:rFonts w:eastAsia="Times New Roman" w:cs="Times New Roman"/>
          <w:bCs/>
          <w:sz w:val="28"/>
          <w:szCs w:val="28"/>
        </w:rPr>
        <w:t>There have been a number of recent decisions dealing with hearsay and we are not going to plow the same ground as has been plowed by prior episodes but we did want to share a couple of reminders.</w:t>
      </w:r>
    </w:p>
    <w:p w14:paraId="495418A5" w14:textId="405E9B33" w:rsidR="007A6522" w:rsidRDefault="00BD4456" w:rsidP="002E356A">
      <w:pPr>
        <w:keepNext/>
        <w:spacing w:line="480" w:lineRule="auto"/>
        <w:textAlignment w:val="baseline"/>
        <w:rPr>
          <w:rFonts w:eastAsia="Times New Roman" w:cs="Times New Roman"/>
          <w:bCs/>
          <w:sz w:val="28"/>
          <w:szCs w:val="28"/>
        </w:rPr>
      </w:pPr>
      <w:r>
        <w:rPr>
          <w:rFonts w:eastAsia="Times New Roman" w:cs="Times New Roman"/>
          <w:bCs/>
          <w:sz w:val="28"/>
          <w:szCs w:val="28"/>
        </w:rPr>
        <w:t>Remember that the statement of a co-conspirator is NOT a hearsay exception.  Instead, those statements are specifically excluded from the definition of hearsay – in other words, proper co-conspirator statements do not meet the definition of hearsay.</w:t>
      </w:r>
    </w:p>
    <w:p w14:paraId="0874D370" w14:textId="5C23D030" w:rsidR="00BD4456" w:rsidRDefault="00BD4456" w:rsidP="002E356A">
      <w:pPr>
        <w:keepNext/>
        <w:spacing w:line="480" w:lineRule="auto"/>
        <w:textAlignment w:val="baseline"/>
        <w:rPr>
          <w:rFonts w:eastAsia="Times New Roman" w:cs="Times New Roman"/>
          <w:bCs/>
          <w:sz w:val="28"/>
          <w:szCs w:val="28"/>
        </w:rPr>
      </w:pPr>
      <w:r>
        <w:rPr>
          <w:rFonts w:eastAsia="Times New Roman" w:cs="Times New Roman"/>
          <w:bCs/>
          <w:sz w:val="28"/>
          <w:szCs w:val="28"/>
        </w:rPr>
        <w:t xml:space="preserve">The recent case of </w:t>
      </w:r>
      <w:r>
        <w:rPr>
          <w:rFonts w:eastAsia="Times New Roman" w:cs="Times New Roman"/>
          <w:bCs/>
          <w:i/>
          <w:iCs/>
          <w:sz w:val="28"/>
          <w:szCs w:val="28"/>
        </w:rPr>
        <w:t>Stafford v. State</w:t>
      </w:r>
      <w:r>
        <w:rPr>
          <w:rFonts w:eastAsia="Times New Roman" w:cs="Times New Roman"/>
          <w:bCs/>
          <w:sz w:val="28"/>
          <w:szCs w:val="28"/>
        </w:rPr>
        <w:t xml:space="preserve">, 312 Ga. 811 (2021) reinforced a basic principle associated with co-conspirator statements.  To be admissible as a co-conspirator statement, the statement had to be made in furtherance of the conspiracy.  Statements which are essentially confessions of the crime or merely </w:t>
      </w:r>
      <w:r>
        <w:rPr>
          <w:rFonts w:eastAsia="Times New Roman" w:cs="Times New Roman"/>
          <w:bCs/>
          <w:sz w:val="28"/>
          <w:szCs w:val="28"/>
        </w:rPr>
        <w:lastRenderedPageBreak/>
        <w:t>“spill-the-beans” as to the crime are NOT co-conspirator statements and, therefore, are not admissible.</w:t>
      </w:r>
    </w:p>
    <w:p w14:paraId="64F69D86" w14:textId="415BE1BC" w:rsidR="006E38CF" w:rsidRDefault="006E38CF" w:rsidP="002E356A">
      <w:pPr>
        <w:keepNext/>
        <w:spacing w:line="480" w:lineRule="auto"/>
        <w:textAlignment w:val="baseline"/>
        <w:rPr>
          <w:rFonts w:eastAsia="Times New Roman" w:cs="Times New Roman"/>
          <w:bCs/>
          <w:sz w:val="28"/>
          <w:szCs w:val="28"/>
        </w:rPr>
      </w:pPr>
      <w:r w:rsidRPr="00555CD3">
        <w:rPr>
          <w:rFonts w:eastAsia="Times New Roman" w:cs="Times New Roman"/>
          <w:b/>
          <w:sz w:val="28"/>
          <w:szCs w:val="28"/>
        </w:rPr>
        <w:pict w14:anchorId="2AC42212">
          <v:rect id="_x0000_i1596" style="width:0;height:1.5pt" o:hralign="center" o:hrstd="t" o:hr="t" fillcolor="#a0a0a0" stroked="f"/>
        </w:pict>
      </w:r>
    </w:p>
    <w:p w14:paraId="2D6C3EF9" w14:textId="5FC9DEBA" w:rsidR="006E38CF" w:rsidRDefault="006E38CF" w:rsidP="002E356A">
      <w:pPr>
        <w:keepNext/>
        <w:spacing w:line="480" w:lineRule="auto"/>
        <w:textAlignment w:val="baseline"/>
        <w:rPr>
          <w:rFonts w:eastAsia="Times New Roman" w:cs="Times New Roman"/>
          <w:bCs/>
          <w:sz w:val="28"/>
          <w:szCs w:val="28"/>
        </w:rPr>
      </w:pPr>
      <w:r>
        <w:rPr>
          <w:rFonts w:eastAsia="Times New Roman" w:cs="Times New Roman"/>
          <w:b/>
          <w:sz w:val="28"/>
          <w:szCs w:val="28"/>
        </w:rPr>
        <w:t>RULE 804- UNAVAILABLE WITNESSES</w:t>
      </w:r>
    </w:p>
    <w:p w14:paraId="5E725E5C" w14:textId="592EDF22" w:rsidR="006E38CF" w:rsidRDefault="006E38CF" w:rsidP="002E356A">
      <w:pPr>
        <w:keepNext/>
        <w:spacing w:line="480" w:lineRule="auto"/>
        <w:textAlignment w:val="baseline"/>
        <w:rPr>
          <w:rFonts w:eastAsia="Times New Roman" w:cs="Times New Roman"/>
          <w:bCs/>
          <w:sz w:val="28"/>
          <w:szCs w:val="28"/>
        </w:rPr>
      </w:pPr>
      <w:r>
        <w:rPr>
          <w:rFonts w:eastAsia="Times New Roman" w:cs="Times New Roman"/>
          <w:bCs/>
          <w:sz w:val="28"/>
          <w:szCs w:val="28"/>
        </w:rPr>
        <w:t xml:space="preserve">We do not see many cases involving Rule 804 because to admit hearsay due to the declarant’s unavailability requires proof that is somewhat difficult to obtain.  The case of </w:t>
      </w:r>
      <w:r>
        <w:rPr>
          <w:rFonts w:eastAsia="Times New Roman" w:cs="Times New Roman"/>
          <w:bCs/>
          <w:i/>
          <w:iCs/>
          <w:sz w:val="28"/>
          <w:szCs w:val="28"/>
        </w:rPr>
        <w:t>Morrell v. State</w:t>
      </w:r>
      <w:r>
        <w:rPr>
          <w:rFonts w:eastAsia="Times New Roman" w:cs="Times New Roman"/>
          <w:bCs/>
          <w:sz w:val="28"/>
          <w:szCs w:val="28"/>
        </w:rPr>
        <w:t>, 313 Ga. 247 (2022) reiterated that in order to have hearsay admitted under an exception found in Rule 804, the evidence must show that reasonable, good-faith efforts were made to procure the witness’ attendance.</w:t>
      </w:r>
    </w:p>
    <w:p w14:paraId="76330F43" w14:textId="5666CAE4" w:rsidR="003C542A" w:rsidRDefault="003C542A" w:rsidP="002E356A">
      <w:pPr>
        <w:keepNext/>
        <w:spacing w:line="480" w:lineRule="auto"/>
        <w:textAlignment w:val="baseline"/>
        <w:rPr>
          <w:rFonts w:eastAsia="Times New Roman" w:cs="Times New Roman"/>
          <w:bCs/>
          <w:sz w:val="28"/>
          <w:szCs w:val="28"/>
        </w:rPr>
      </w:pPr>
      <w:r w:rsidRPr="00555CD3">
        <w:rPr>
          <w:rFonts w:eastAsia="Times New Roman" w:cs="Times New Roman"/>
          <w:b/>
          <w:sz w:val="28"/>
          <w:szCs w:val="28"/>
        </w:rPr>
        <w:pict w14:anchorId="53E013DC">
          <v:rect id="_x0000_i1597" style="width:0;height:1.5pt" o:hralign="center" o:hrstd="t" o:hr="t" fillcolor="#a0a0a0" stroked="f"/>
        </w:pict>
      </w:r>
    </w:p>
    <w:p w14:paraId="4402CFA1" w14:textId="55711F0C" w:rsidR="003C542A" w:rsidRDefault="003C542A" w:rsidP="002E356A">
      <w:pPr>
        <w:keepNext/>
        <w:spacing w:line="480" w:lineRule="auto"/>
        <w:textAlignment w:val="baseline"/>
        <w:rPr>
          <w:rFonts w:eastAsia="Times New Roman" w:cs="Times New Roman"/>
          <w:b/>
          <w:sz w:val="28"/>
          <w:szCs w:val="28"/>
        </w:rPr>
      </w:pPr>
      <w:r>
        <w:rPr>
          <w:rFonts w:eastAsia="Times New Roman" w:cs="Times New Roman"/>
          <w:b/>
          <w:sz w:val="28"/>
          <w:szCs w:val="28"/>
        </w:rPr>
        <w:t>RESIDUAL EXCEPTION</w:t>
      </w:r>
    </w:p>
    <w:p w14:paraId="6FC0F975" w14:textId="7551436F" w:rsidR="003C542A" w:rsidRDefault="003C542A" w:rsidP="002E356A">
      <w:pPr>
        <w:keepNext/>
        <w:spacing w:line="480" w:lineRule="auto"/>
        <w:textAlignment w:val="baseline"/>
        <w:rPr>
          <w:rFonts w:eastAsia="Times New Roman" w:cs="Times New Roman"/>
          <w:bCs/>
          <w:sz w:val="28"/>
          <w:szCs w:val="28"/>
        </w:rPr>
      </w:pPr>
      <w:r>
        <w:rPr>
          <w:rFonts w:eastAsia="Times New Roman" w:cs="Times New Roman"/>
          <w:bCs/>
          <w:sz w:val="28"/>
          <w:szCs w:val="28"/>
        </w:rPr>
        <w:t xml:space="preserve">Once upon a time, we had an “exception” to the hearsay rule (prior to 2013 evidence code rewrite) that was called the “necessity exception.”  This exception got so twisted up that the exception swallowed the rule.  Recently, the appellate courts reminded us that the appellate decisions dealing with the old necessity exception are not applicable to the “residual exception” found in Rule 807.  </w:t>
      </w:r>
      <w:r>
        <w:rPr>
          <w:rFonts w:eastAsia="Times New Roman" w:cs="Times New Roman"/>
          <w:bCs/>
          <w:i/>
          <w:iCs/>
          <w:sz w:val="28"/>
          <w:szCs w:val="28"/>
        </w:rPr>
        <w:t>Ash v. State</w:t>
      </w:r>
      <w:r>
        <w:rPr>
          <w:rFonts w:eastAsia="Times New Roman" w:cs="Times New Roman"/>
          <w:bCs/>
          <w:sz w:val="28"/>
          <w:szCs w:val="28"/>
        </w:rPr>
        <w:t xml:space="preserve">, 312 Ga. 771 (2022).  Additionally, under the proper “residual exception” (Rule 807), </w:t>
      </w:r>
      <w:r w:rsidR="000F68F1">
        <w:rPr>
          <w:rFonts w:eastAsia="Times New Roman" w:cs="Times New Roman"/>
          <w:bCs/>
          <w:sz w:val="28"/>
          <w:szCs w:val="28"/>
        </w:rPr>
        <w:t>“</w:t>
      </w:r>
      <w:r w:rsidR="000F68F1" w:rsidRPr="000F68F1">
        <w:rPr>
          <w:rFonts w:eastAsia="Times New Roman" w:cs="Times New Roman"/>
          <w:bCs/>
          <w:sz w:val="28"/>
          <w:szCs w:val="28"/>
        </w:rPr>
        <w:t xml:space="preserve">Statements admissible under 807 are considered sufficiently trustworthy </w:t>
      </w:r>
      <w:r w:rsidR="000F68F1" w:rsidRPr="000F68F1">
        <w:rPr>
          <w:rFonts w:eastAsia="Times New Roman" w:cs="Times New Roman"/>
          <w:bCs/>
          <w:sz w:val="28"/>
          <w:szCs w:val="28"/>
          <w:u w:val="single"/>
        </w:rPr>
        <w:t>not</w:t>
      </w:r>
      <w:r w:rsidR="000F68F1" w:rsidRPr="000F68F1">
        <w:rPr>
          <w:rFonts w:eastAsia="Times New Roman" w:cs="Times New Roman"/>
          <w:bCs/>
          <w:sz w:val="28"/>
          <w:szCs w:val="28"/>
        </w:rPr>
        <w:t xml:space="preserve"> because of the credibility of the witness reporting them in court, </w:t>
      </w:r>
      <w:r w:rsidR="000F68F1" w:rsidRPr="000F68F1">
        <w:rPr>
          <w:rFonts w:eastAsia="Times New Roman" w:cs="Times New Roman"/>
          <w:bCs/>
          <w:sz w:val="28"/>
          <w:szCs w:val="28"/>
        </w:rPr>
        <w:lastRenderedPageBreak/>
        <w:t>BUT because of the circumstances under which they were originally made.</w:t>
      </w:r>
      <w:r w:rsidR="000F68F1">
        <w:rPr>
          <w:rFonts w:eastAsia="Times New Roman" w:cs="Times New Roman"/>
          <w:bCs/>
          <w:sz w:val="28"/>
          <w:szCs w:val="28"/>
        </w:rPr>
        <w:t xml:space="preserve">”  </w:t>
      </w:r>
      <w:r w:rsidR="000F68F1">
        <w:rPr>
          <w:rFonts w:eastAsia="Times New Roman" w:cs="Times New Roman"/>
          <w:bCs/>
          <w:i/>
          <w:iCs/>
          <w:sz w:val="28"/>
          <w:szCs w:val="28"/>
        </w:rPr>
        <w:t>Ward v. State</w:t>
      </w:r>
      <w:r w:rsidR="000F68F1">
        <w:rPr>
          <w:rFonts w:eastAsia="Times New Roman" w:cs="Times New Roman"/>
          <w:bCs/>
          <w:sz w:val="28"/>
          <w:szCs w:val="28"/>
        </w:rPr>
        <w:t>, 313 Ga. 265 (2022).</w:t>
      </w:r>
    </w:p>
    <w:p w14:paraId="4994E286" w14:textId="4E32B27D" w:rsidR="000F68F1" w:rsidRPr="00555CD3" w:rsidRDefault="000F68F1" w:rsidP="002E356A">
      <w:pPr>
        <w:keepNext/>
        <w:spacing w:line="480" w:lineRule="auto"/>
        <w:textAlignment w:val="baseline"/>
        <w:rPr>
          <w:rFonts w:eastAsia="Times New Roman" w:cs="Times New Roman"/>
          <w:bCs/>
          <w:sz w:val="28"/>
          <w:szCs w:val="28"/>
        </w:rPr>
      </w:pPr>
      <w:r w:rsidRPr="00555CD3">
        <w:rPr>
          <w:rFonts w:eastAsia="Times New Roman" w:cs="Times New Roman"/>
          <w:b/>
          <w:sz w:val="28"/>
          <w:szCs w:val="28"/>
        </w:rPr>
        <w:pict w14:anchorId="4CDCD05F">
          <v:rect id="_x0000_i1598" style="width:0;height:1.5pt" o:hralign="center" o:hrstd="t" o:hr="t" fillcolor="#a0a0a0" stroked="f"/>
        </w:pict>
      </w:r>
    </w:p>
    <w:p w14:paraId="481E9DD3" w14:textId="38FC18A2" w:rsidR="000F68F1" w:rsidRDefault="000F68F1" w:rsidP="00555CD3">
      <w:pPr>
        <w:spacing w:line="480" w:lineRule="auto"/>
        <w:textAlignment w:val="baseline"/>
        <w:rPr>
          <w:rFonts w:eastAsia="Times New Roman" w:cs="Times New Roman"/>
          <w:bCs/>
          <w:sz w:val="28"/>
          <w:szCs w:val="28"/>
        </w:rPr>
      </w:pPr>
      <w:r>
        <w:rPr>
          <w:rFonts w:eastAsia="Times New Roman" w:cs="Times New Roman"/>
          <w:bCs/>
          <w:sz w:val="28"/>
          <w:szCs w:val="28"/>
        </w:rPr>
        <w:t>That’s all for our discussion of some of the recent evidence decisions in Georgia.</w:t>
      </w:r>
    </w:p>
    <w:p w14:paraId="3A49CE34" w14:textId="03FB330A" w:rsidR="000F68F1" w:rsidRDefault="000F68F1" w:rsidP="00555CD3">
      <w:pPr>
        <w:spacing w:line="480" w:lineRule="auto"/>
        <w:textAlignment w:val="baseline"/>
        <w:rPr>
          <w:rFonts w:eastAsia="Times New Roman" w:cs="Times New Roman"/>
          <w:bCs/>
          <w:sz w:val="28"/>
          <w:szCs w:val="28"/>
        </w:rPr>
      </w:pPr>
      <w:r>
        <w:rPr>
          <w:rFonts w:eastAsia="Times New Roman" w:cs="Times New Roman"/>
          <w:bCs/>
          <w:sz w:val="28"/>
          <w:szCs w:val="28"/>
        </w:rPr>
        <w:t>Shout out for the shameless plagiarism we have committed from our buddy, Parag Shah.</w:t>
      </w:r>
    </w:p>
    <w:p w14:paraId="56E1C93F" w14:textId="77777777" w:rsidR="000F68F1" w:rsidRDefault="000F68F1" w:rsidP="00555CD3">
      <w:pPr>
        <w:spacing w:line="480" w:lineRule="auto"/>
        <w:textAlignment w:val="baseline"/>
        <w:rPr>
          <w:rFonts w:eastAsia="Times New Roman" w:cs="Times New Roman"/>
          <w:bCs/>
          <w:sz w:val="28"/>
          <w:szCs w:val="28"/>
        </w:rPr>
      </w:pPr>
    </w:p>
    <w:p w14:paraId="4624E723"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The outline is full of statutory and case citations and that outline can be found at </w:t>
      </w:r>
      <w:r w:rsidRPr="00555CD3">
        <w:rPr>
          <w:rFonts w:eastAsia="Times New Roman" w:cs="Times New Roman"/>
          <w:b/>
          <w:sz w:val="28"/>
          <w:szCs w:val="28"/>
        </w:rPr>
        <w:t>goodjudgepod.com</w:t>
      </w:r>
      <w:r w:rsidRPr="00555CD3">
        <w:rPr>
          <w:rFonts w:eastAsia="Times New Roman" w:cs="Times New Roman"/>
          <w:bCs/>
          <w:sz w:val="28"/>
          <w:szCs w:val="28"/>
        </w:rPr>
        <w:t>.</w:t>
      </w:r>
    </w:p>
    <w:p w14:paraId="10C4026F"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Reach out to us on </w:t>
      </w:r>
      <w:hyperlink r:id="rId8" w:history="1">
        <w:r w:rsidRPr="00555CD3">
          <w:rPr>
            <w:rFonts w:eastAsia="Times New Roman" w:cs="Times New Roman"/>
            <w:bCs/>
            <w:color w:val="0000FF"/>
            <w:sz w:val="28"/>
            <w:szCs w:val="28"/>
            <w:u w:val="single"/>
          </w:rPr>
          <w:t>goodjudgepod@gmail.com</w:t>
        </w:r>
      </w:hyperlink>
      <w:r w:rsidRPr="00555CD3">
        <w:rPr>
          <w:rFonts w:eastAsia="Times New Roman" w:cs="Times New Roman"/>
          <w:bCs/>
          <w:sz w:val="28"/>
          <w:szCs w:val="28"/>
        </w:rPr>
        <w:t xml:space="preserve"> with all of your podcast topic ideas</w:t>
      </w:r>
    </w:p>
    <w:p w14:paraId="4A9E1233" w14:textId="77777777" w:rsidR="00555CD3" w:rsidRPr="00555CD3" w:rsidRDefault="00555CD3" w:rsidP="00555CD3">
      <w:pPr>
        <w:spacing w:line="480" w:lineRule="auto"/>
        <w:textAlignment w:val="baseline"/>
        <w:rPr>
          <w:rFonts w:eastAsia="Times New Roman" w:cs="Times New Roman"/>
          <w:b/>
          <w:sz w:val="28"/>
          <w:szCs w:val="28"/>
        </w:rPr>
      </w:pPr>
      <w:r w:rsidRPr="00555CD3">
        <w:rPr>
          <w:rFonts w:eastAsia="Times New Roman" w:cs="Times New Roman"/>
          <w:b/>
          <w:sz w:val="28"/>
          <w:szCs w:val="28"/>
        </w:rPr>
        <w:t>I’m Wade Padgett</w:t>
      </w:r>
    </w:p>
    <w:p w14:paraId="71E12223" w14:textId="0BD9E5C4" w:rsidR="00887092" w:rsidRPr="00555CD3" w:rsidRDefault="00555CD3" w:rsidP="00AE7E1A">
      <w:pPr>
        <w:spacing w:line="480" w:lineRule="auto"/>
        <w:textAlignment w:val="baseline"/>
        <w:rPr>
          <w:rFonts w:eastAsia="Times New Roman" w:cs="Times New Roman"/>
          <w:iCs/>
          <w:sz w:val="28"/>
          <w:szCs w:val="28"/>
        </w:rPr>
      </w:pPr>
      <w:r w:rsidRPr="00555CD3">
        <w:rPr>
          <w:rFonts w:eastAsia="Times New Roman" w:cs="Times New Roman"/>
          <w:i/>
          <w:sz w:val="28"/>
          <w:szCs w:val="28"/>
        </w:rPr>
        <w:t>And I’m Tain Kell…  [insert funny thing]</w:t>
      </w:r>
      <w:bookmarkEnd w:id="0"/>
    </w:p>
    <w:sectPr w:rsidR="00887092" w:rsidRPr="00555CD3" w:rsidSect="00555C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0608" w14:textId="77777777" w:rsidR="00C01FAB" w:rsidRDefault="00C01FAB" w:rsidP="00A52F35">
      <w:pPr>
        <w:spacing w:line="240" w:lineRule="auto"/>
      </w:pPr>
      <w:r>
        <w:separator/>
      </w:r>
    </w:p>
  </w:endnote>
  <w:endnote w:type="continuationSeparator" w:id="0">
    <w:p w14:paraId="240341C4" w14:textId="77777777" w:rsidR="00C01FAB" w:rsidRDefault="00C01FAB" w:rsidP="00A52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02E" w14:textId="77777777" w:rsidR="00030687" w:rsidRDefault="00C01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2B97" w14:textId="77777777" w:rsidR="003D0F81" w:rsidRDefault="00C01FAB" w:rsidP="00C527D7">
    <w:pPr>
      <w:pStyle w:val="Footer"/>
      <w:tabs>
        <w:tab w:val="clear" w:pos="4680"/>
        <w:tab w:val="clear" w:pos="9360"/>
      </w:tabs>
      <w:jc w:val="center"/>
      <w:rPr>
        <w:b/>
        <w:bCs/>
        <w:sz w:val="20"/>
        <w:szCs w:val="20"/>
      </w:rPr>
    </w:pPr>
  </w:p>
  <w:p w14:paraId="647E1D70" w14:textId="65F0FBD4" w:rsidR="003D0F81" w:rsidRDefault="006E3884" w:rsidP="00C527D7">
    <w:pPr>
      <w:pStyle w:val="Footer"/>
      <w:tabs>
        <w:tab w:val="clear" w:pos="4680"/>
        <w:tab w:val="clear" w:pos="9360"/>
      </w:tabs>
      <w:jc w:val="center"/>
      <w:rPr>
        <w:b/>
        <w:bCs/>
        <w:sz w:val="20"/>
        <w:szCs w:val="20"/>
      </w:rPr>
    </w:pPr>
    <w:r>
      <w:rPr>
        <w:b/>
        <w:bCs/>
        <w:sz w:val="20"/>
        <w:szCs w:val="20"/>
      </w:rPr>
      <w:t>RANDOM LAW UPDATES</w:t>
    </w:r>
    <w:r w:rsidR="00AE7E1A">
      <w:rPr>
        <w:b/>
        <w:bCs/>
        <w:sz w:val="20"/>
        <w:szCs w:val="20"/>
      </w:rPr>
      <w:t xml:space="preserve"> </w:t>
    </w:r>
    <w:r w:rsidR="00C01FAB">
      <w:rPr>
        <w:b/>
        <w:bCs/>
        <w:sz w:val="20"/>
        <w:szCs w:val="20"/>
      </w:rPr>
      <w:t xml:space="preserve"> –</w:t>
    </w:r>
    <w:r w:rsidR="001B3891">
      <w:rPr>
        <w:b/>
        <w:bCs/>
        <w:sz w:val="20"/>
        <w:szCs w:val="20"/>
      </w:rPr>
      <w:t xml:space="preserve"> </w:t>
    </w:r>
    <w:r w:rsidR="000F68F1">
      <w:rPr>
        <w:b/>
        <w:bCs/>
        <w:sz w:val="20"/>
        <w:szCs w:val="20"/>
      </w:rPr>
      <w:t xml:space="preserve">EVIDENCE </w:t>
    </w:r>
    <w:r w:rsidR="001B3891">
      <w:rPr>
        <w:b/>
        <w:bCs/>
        <w:sz w:val="20"/>
        <w:szCs w:val="20"/>
      </w:rPr>
      <w:t xml:space="preserve"> ISSUES</w:t>
    </w:r>
    <w:r w:rsidR="00AE7E1A">
      <w:rPr>
        <w:b/>
        <w:bCs/>
        <w:sz w:val="20"/>
        <w:szCs w:val="20"/>
      </w:rPr>
      <w:t xml:space="preserve"> - </w:t>
    </w:r>
    <w:r w:rsidR="00C01FAB">
      <w:rPr>
        <w:b/>
        <w:bCs/>
        <w:sz w:val="20"/>
        <w:szCs w:val="20"/>
      </w:rPr>
      <w:t>EPISODE NOTES</w:t>
    </w:r>
  </w:p>
  <w:p w14:paraId="553C4CDE" w14:textId="77777777" w:rsidR="003D0F81" w:rsidRPr="00DB0007" w:rsidRDefault="00C01FAB" w:rsidP="00C527D7">
    <w:pPr>
      <w:pStyle w:val="Footer"/>
      <w:tabs>
        <w:tab w:val="clear" w:pos="4680"/>
        <w:tab w:val="clear" w:pos="9360"/>
      </w:tabs>
      <w:jc w:val="center"/>
      <w:rPr>
        <w:b/>
        <w:bCs/>
        <w:sz w:val="20"/>
        <w:szCs w:val="20"/>
      </w:rPr>
    </w:pPr>
    <w:r>
      <w:rPr>
        <w:b/>
        <w:bCs/>
        <w:sz w:val="20"/>
        <w:szCs w:val="20"/>
      </w:rPr>
      <w:t>RECORDED</w:t>
    </w:r>
    <w:r>
      <w:rPr>
        <w:b/>
        <w:bCs/>
        <w:sz w:val="20"/>
        <w:szCs w:val="20"/>
      </w:rPr>
      <w:t xml:space="preserve"> </w:t>
    </w:r>
    <w:r>
      <w:rPr>
        <w:b/>
        <w:bCs/>
        <w:sz w:val="20"/>
        <w:szCs w:val="20"/>
      </w:rPr>
      <w:t>8/12</w:t>
    </w:r>
    <w:r>
      <w:rPr>
        <w:b/>
        <w:bCs/>
        <w:sz w:val="20"/>
        <w:szCs w:val="20"/>
      </w:rPr>
      <w:t>/</w:t>
    </w:r>
    <w:r>
      <w:rPr>
        <w:b/>
        <w:bCs/>
        <w:sz w:val="20"/>
        <w:szCs w:val="20"/>
      </w:rPr>
      <w:t>2022</w:t>
    </w:r>
  </w:p>
  <w:p w14:paraId="055DD22B" w14:textId="77777777" w:rsidR="003D0F81" w:rsidRDefault="00C01FAB"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7B547636" w14:textId="77777777" w:rsidR="003D0F81" w:rsidRDefault="00C01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46EC" w14:textId="77777777" w:rsidR="00030687" w:rsidRDefault="00C0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A4C5" w14:textId="77777777" w:rsidR="00C01FAB" w:rsidRDefault="00C01FAB" w:rsidP="00A52F35">
      <w:pPr>
        <w:spacing w:line="240" w:lineRule="auto"/>
      </w:pPr>
      <w:r>
        <w:separator/>
      </w:r>
    </w:p>
  </w:footnote>
  <w:footnote w:type="continuationSeparator" w:id="0">
    <w:p w14:paraId="3C5F511D" w14:textId="77777777" w:rsidR="00C01FAB" w:rsidRDefault="00C01FAB"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C37" w14:textId="77777777" w:rsidR="00030687" w:rsidRDefault="00C01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7168" w14:textId="77777777" w:rsidR="00030687" w:rsidRDefault="00C01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831" w14:textId="77777777" w:rsidR="00030687" w:rsidRDefault="00C0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641" style="width:0;height:1.5pt" o:hralign="center" o:bullet="t" o:hrstd="t" o:hr="t" fillcolor="#a0a0a0" stroked="f"/>
    </w:pict>
  </w:numPicBullet>
  <w:numPicBullet w:numPicBulletId="1">
    <w:pict>
      <v:rect id="_x0000_i2642" style="width:0;height:1.5pt" o:hralign="center" o:bullet="t" o:hrstd="t" o:hr="t" fillcolor="#a0a0a0" stroked="f"/>
    </w:pict>
  </w:numPicBullet>
  <w:numPicBullet w:numPicBulletId="2">
    <w:pict>
      <v:rect id="_x0000_i2643" style="width:0;height:1.5pt" o:hralign="center" o:bullet="t" o:hrstd="t" o:hr="t" fillcolor="#a0a0a0" stroked="f"/>
    </w:pict>
  </w:numPicBullet>
  <w:abstractNum w:abstractNumId="0"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091E5C"/>
    <w:multiLevelType w:val="hybridMultilevel"/>
    <w:tmpl w:val="41A4C150"/>
    <w:lvl w:ilvl="0" w:tplc="8E246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737361280">
    <w:abstractNumId w:val="3"/>
  </w:num>
  <w:num w:numId="2" w16cid:durableId="516770339">
    <w:abstractNumId w:val="0"/>
  </w:num>
  <w:num w:numId="3" w16cid:durableId="1672216630">
    <w:abstractNumId w:val="1"/>
  </w:num>
  <w:num w:numId="4" w16cid:durableId="300624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3"/>
    <w:rsid w:val="00085829"/>
    <w:rsid w:val="000B3423"/>
    <w:rsid w:val="000C1061"/>
    <w:rsid w:val="000C446F"/>
    <w:rsid w:val="000D13BF"/>
    <w:rsid w:val="000F68F1"/>
    <w:rsid w:val="0010409A"/>
    <w:rsid w:val="00112051"/>
    <w:rsid w:val="00157A8B"/>
    <w:rsid w:val="001B3891"/>
    <w:rsid w:val="001E223E"/>
    <w:rsid w:val="001E6C37"/>
    <w:rsid w:val="0023015A"/>
    <w:rsid w:val="002358D9"/>
    <w:rsid w:val="002708B0"/>
    <w:rsid w:val="002C3EBC"/>
    <w:rsid w:val="002D1905"/>
    <w:rsid w:val="002D73D0"/>
    <w:rsid w:val="002E0E05"/>
    <w:rsid w:val="002E356A"/>
    <w:rsid w:val="003A43D9"/>
    <w:rsid w:val="003C542A"/>
    <w:rsid w:val="00425248"/>
    <w:rsid w:val="0042615D"/>
    <w:rsid w:val="005052B1"/>
    <w:rsid w:val="0052598B"/>
    <w:rsid w:val="00553437"/>
    <w:rsid w:val="00555CD3"/>
    <w:rsid w:val="00562A35"/>
    <w:rsid w:val="005725FA"/>
    <w:rsid w:val="00573E68"/>
    <w:rsid w:val="00594B8C"/>
    <w:rsid w:val="005A0657"/>
    <w:rsid w:val="005C3462"/>
    <w:rsid w:val="005D4D9F"/>
    <w:rsid w:val="0061670A"/>
    <w:rsid w:val="00633CCD"/>
    <w:rsid w:val="006B3477"/>
    <w:rsid w:val="006E3884"/>
    <w:rsid w:val="006E38CF"/>
    <w:rsid w:val="006F5FBD"/>
    <w:rsid w:val="00722E77"/>
    <w:rsid w:val="007969F6"/>
    <w:rsid w:val="007A6522"/>
    <w:rsid w:val="007F7D58"/>
    <w:rsid w:val="00837697"/>
    <w:rsid w:val="00842C08"/>
    <w:rsid w:val="00887092"/>
    <w:rsid w:val="00890DE5"/>
    <w:rsid w:val="008A352B"/>
    <w:rsid w:val="008B58A3"/>
    <w:rsid w:val="008E5841"/>
    <w:rsid w:val="008F22C8"/>
    <w:rsid w:val="009047D5"/>
    <w:rsid w:val="00924522"/>
    <w:rsid w:val="00936031"/>
    <w:rsid w:val="00977B85"/>
    <w:rsid w:val="0098464C"/>
    <w:rsid w:val="009938AC"/>
    <w:rsid w:val="009E786C"/>
    <w:rsid w:val="00A11B17"/>
    <w:rsid w:val="00A11F70"/>
    <w:rsid w:val="00A52F35"/>
    <w:rsid w:val="00A53ECD"/>
    <w:rsid w:val="00A57561"/>
    <w:rsid w:val="00A65A34"/>
    <w:rsid w:val="00AE7E1A"/>
    <w:rsid w:val="00B408EF"/>
    <w:rsid w:val="00BD4456"/>
    <w:rsid w:val="00BE35E7"/>
    <w:rsid w:val="00C01FAB"/>
    <w:rsid w:val="00C12E86"/>
    <w:rsid w:val="00C9333B"/>
    <w:rsid w:val="00C96151"/>
    <w:rsid w:val="00D023EA"/>
    <w:rsid w:val="00D56882"/>
    <w:rsid w:val="00D67C29"/>
    <w:rsid w:val="00DC0AA6"/>
    <w:rsid w:val="00DC24DA"/>
    <w:rsid w:val="00E06C95"/>
    <w:rsid w:val="00E33651"/>
    <w:rsid w:val="00E3609E"/>
    <w:rsid w:val="00ED08FC"/>
    <w:rsid w:val="00F24F1F"/>
    <w:rsid w:val="00F51956"/>
    <w:rsid w:val="00F62034"/>
    <w:rsid w:val="00F937CC"/>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555CD3"/>
    <w:pPr>
      <w:spacing w:after="120"/>
      <w:ind w:left="432" w:hanging="432"/>
    </w:pPr>
    <w:rPr>
      <w:szCs w:val="20"/>
    </w:rPr>
  </w:style>
  <w:style w:type="character" w:customStyle="1" w:styleId="EndnoteTextChar">
    <w:name w:val="Endnote Text Char"/>
    <w:basedOn w:val="DefaultParagraphFont"/>
    <w:link w:val="EndnoteText"/>
    <w:uiPriority w:val="90"/>
    <w:rsid w:val="00555CD3"/>
    <w:rPr>
      <w:rFonts w:ascii="Times New Roman" w:hAnsi="Times New Roman"/>
      <w:sz w:val="24"/>
      <w:szCs w:val="20"/>
    </w:rPr>
  </w:style>
  <w:style w:type="character" w:styleId="EndnoteReference">
    <w:name w:val="endnote reference"/>
    <w:basedOn w:val="DefaultParagraphFont"/>
    <w:unhideWhenUsed/>
    <w:qFormat/>
    <w:rsid w:val="008F22C8"/>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styleId="UnresolvedMention">
    <w:name w:val="Unresolved Mention"/>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085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2022-08-12T20:39:00Z</dcterms:created>
  <dcterms:modified xsi:type="dcterms:W3CDTF">2022-08-12T20:39:00Z</dcterms:modified>
</cp:coreProperties>
</file>