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E81A" w14:textId="3856CBBC" w:rsidR="00555CD3" w:rsidRPr="00555CD3" w:rsidRDefault="00036AEB" w:rsidP="009B42AB">
      <w:pPr>
        <w:keepNext/>
        <w:spacing w:after="200" w:line="480" w:lineRule="auto"/>
        <w:jc w:val="center"/>
        <w:rPr>
          <w:rFonts w:eastAsia="Times New Roman" w:cs="Times New Roman"/>
          <w:b/>
          <w:sz w:val="28"/>
          <w:szCs w:val="28"/>
        </w:rPr>
      </w:pPr>
      <w:bookmarkStart w:id="0" w:name="_Hlk111203407"/>
      <w:r>
        <w:rPr>
          <w:rFonts w:eastAsia="Times New Roman" w:cs="Times New Roman"/>
          <w:b/>
          <w:i/>
          <w:iCs/>
          <w:sz w:val="28"/>
          <w:szCs w:val="28"/>
        </w:rPr>
        <w:t>DAUBERT</w:t>
      </w:r>
      <w:r w:rsidR="003842AF">
        <w:rPr>
          <w:rFonts w:eastAsia="Times New Roman" w:cs="Times New Roman"/>
          <w:b/>
          <w:sz w:val="28"/>
          <w:szCs w:val="28"/>
        </w:rPr>
        <w:t xml:space="preserve"> - </w:t>
      </w:r>
      <w:r w:rsidR="00555CD3" w:rsidRPr="00555CD3">
        <w:rPr>
          <w:rFonts w:eastAsia="Times New Roman" w:cs="Times New Roman"/>
          <w:b/>
          <w:sz w:val="28"/>
          <w:szCs w:val="28"/>
        </w:rPr>
        <w:t>EPISODE NOTES</w:t>
      </w:r>
    </w:p>
    <w:p w14:paraId="722B0C17" w14:textId="51106F24" w:rsidR="00F0409E" w:rsidRDefault="00F0409E" w:rsidP="00555CD3">
      <w:pPr>
        <w:spacing w:after="200" w:line="480" w:lineRule="auto"/>
        <w:rPr>
          <w:rFonts w:eastAsia="Times New Roman" w:cs="Times New Roman"/>
          <w:bCs/>
          <w:sz w:val="28"/>
          <w:szCs w:val="28"/>
        </w:rPr>
      </w:pPr>
      <w:r>
        <w:rPr>
          <w:rFonts w:eastAsia="Times New Roman" w:cs="Times New Roman"/>
          <w:bCs/>
          <w:sz w:val="28"/>
          <w:szCs w:val="28"/>
        </w:rPr>
        <w:t>Hello everyone and welcome back to the Good Judge-Ment Podcast.  I am Wade Padgett</w:t>
      </w:r>
    </w:p>
    <w:p w14:paraId="7E849D87" w14:textId="433AF810" w:rsidR="00F0409E" w:rsidRDefault="00F0409E"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And I am Tain Kell. </w:t>
      </w:r>
    </w:p>
    <w:p w14:paraId="17A4F298" w14:textId="00589633" w:rsidR="00F0409E" w:rsidRDefault="00036AEB" w:rsidP="00555CD3">
      <w:pPr>
        <w:spacing w:after="200" w:line="480" w:lineRule="auto"/>
        <w:rPr>
          <w:rFonts w:eastAsia="Times New Roman" w:cs="Times New Roman"/>
          <w:bCs/>
          <w:sz w:val="28"/>
          <w:szCs w:val="28"/>
        </w:rPr>
      </w:pPr>
      <w:r>
        <w:rPr>
          <w:rFonts w:eastAsia="Times New Roman" w:cs="Times New Roman"/>
          <w:bCs/>
          <w:sz w:val="28"/>
          <w:szCs w:val="28"/>
        </w:rPr>
        <w:t>Today, we are taking the leap…</w:t>
      </w:r>
    </w:p>
    <w:p w14:paraId="67F308E0" w14:textId="2187FE10" w:rsidR="00A23CEE" w:rsidRPr="00AF648B" w:rsidRDefault="00036AEB" w:rsidP="00555CD3">
      <w:pPr>
        <w:spacing w:after="200" w:line="480" w:lineRule="auto"/>
        <w:rPr>
          <w:rFonts w:eastAsia="Times New Roman" w:cs="Times New Roman"/>
          <w:bCs/>
          <w:sz w:val="28"/>
          <w:szCs w:val="28"/>
        </w:rPr>
      </w:pPr>
      <w:r>
        <w:rPr>
          <w:rFonts w:eastAsia="Times New Roman" w:cs="Times New Roman"/>
          <w:bCs/>
          <w:i/>
          <w:iCs/>
          <w:sz w:val="28"/>
          <w:szCs w:val="28"/>
        </w:rPr>
        <w:t xml:space="preserve">Umm, Wade?  </w:t>
      </w:r>
      <w:r w:rsidR="002C50A5">
        <w:rPr>
          <w:rFonts w:eastAsia="Times New Roman" w:cs="Times New Roman"/>
          <w:bCs/>
          <w:i/>
          <w:iCs/>
          <w:sz w:val="28"/>
          <w:szCs w:val="28"/>
        </w:rPr>
        <w:t xml:space="preserve">Leap?  </w:t>
      </w:r>
      <w:r>
        <w:rPr>
          <w:rFonts w:eastAsia="Times New Roman" w:cs="Times New Roman"/>
          <w:bCs/>
          <w:i/>
          <w:iCs/>
          <w:sz w:val="28"/>
          <w:szCs w:val="28"/>
        </w:rPr>
        <w:t>What leap?</w:t>
      </w:r>
    </w:p>
    <w:p w14:paraId="701E8693" w14:textId="2095C573" w:rsidR="00F0409E" w:rsidRPr="00036AEB" w:rsidRDefault="00F0409E" w:rsidP="00555CD3">
      <w:pPr>
        <w:spacing w:after="200" w:line="480" w:lineRule="auto"/>
        <w:rPr>
          <w:rFonts w:eastAsia="Times New Roman" w:cs="Times New Roman"/>
          <w:bCs/>
          <w:sz w:val="28"/>
          <w:szCs w:val="28"/>
        </w:rPr>
      </w:pPr>
      <w:r>
        <w:rPr>
          <w:rFonts w:eastAsia="Times New Roman" w:cs="Times New Roman"/>
          <w:bCs/>
          <w:sz w:val="28"/>
          <w:szCs w:val="28"/>
        </w:rPr>
        <w:t xml:space="preserve">Today, we are going to discuss the topic of </w:t>
      </w:r>
      <w:r w:rsidR="00036AEB">
        <w:rPr>
          <w:rFonts w:eastAsia="Times New Roman" w:cs="Times New Roman"/>
          <w:bCs/>
          <w:i/>
          <w:iCs/>
          <w:sz w:val="28"/>
          <w:szCs w:val="28"/>
        </w:rPr>
        <w:t>Daubert</w:t>
      </w:r>
      <w:r w:rsidR="00036AEB">
        <w:rPr>
          <w:rFonts w:eastAsia="Times New Roman" w:cs="Times New Roman"/>
          <w:bCs/>
          <w:sz w:val="28"/>
          <w:szCs w:val="28"/>
        </w:rPr>
        <w:t xml:space="preserve"> in criminal cases.</w:t>
      </w:r>
    </w:p>
    <w:p w14:paraId="7993FEAE" w14:textId="5B72EE15" w:rsidR="00AF648B" w:rsidRDefault="00036AEB"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Oh, </w:t>
      </w:r>
      <w:r>
        <w:rPr>
          <w:rFonts w:eastAsia="Times New Roman" w:cs="Times New Roman"/>
          <w:bCs/>
          <w:i/>
          <w:iCs/>
          <w:sz w:val="28"/>
          <w:szCs w:val="28"/>
          <w:u w:val="single"/>
        </w:rPr>
        <w:t>that</w:t>
      </w:r>
      <w:r>
        <w:rPr>
          <w:rFonts w:eastAsia="Times New Roman" w:cs="Times New Roman"/>
          <w:bCs/>
          <w:i/>
          <w:iCs/>
          <w:sz w:val="28"/>
          <w:szCs w:val="28"/>
        </w:rPr>
        <w:t xml:space="preserve"> leap.  We are the furthest things from experts on this topic as exist in the entire world.  And we have discussed all sorts of ideas on how we might address this topic and we finally g</w:t>
      </w:r>
      <w:r w:rsidR="002C50A5">
        <w:rPr>
          <w:rFonts w:eastAsia="Times New Roman" w:cs="Times New Roman"/>
          <w:bCs/>
          <w:i/>
          <w:iCs/>
          <w:sz w:val="28"/>
          <w:szCs w:val="28"/>
        </w:rPr>
        <w:t>ave</w:t>
      </w:r>
      <w:r>
        <w:rPr>
          <w:rFonts w:eastAsia="Times New Roman" w:cs="Times New Roman"/>
          <w:bCs/>
          <w:i/>
          <w:iCs/>
          <w:sz w:val="28"/>
          <w:szCs w:val="28"/>
        </w:rPr>
        <w:t xml:space="preserve"> up and decided to just talk about it</w:t>
      </w:r>
      <w:r w:rsidR="005C1A2B">
        <w:rPr>
          <w:rFonts w:eastAsia="Times New Roman" w:cs="Times New Roman"/>
          <w:bCs/>
          <w:i/>
          <w:iCs/>
          <w:sz w:val="28"/>
          <w:szCs w:val="28"/>
        </w:rPr>
        <w:t xml:space="preserve"> ourselves</w:t>
      </w:r>
      <w:r>
        <w:rPr>
          <w:rFonts w:eastAsia="Times New Roman" w:cs="Times New Roman"/>
          <w:bCs/>
          <w:i/>
          <w:iCs/>
          <w:sz w:val="28"/>
          <w:szCs w:val="28"/>
        </w:rPr>
        <w:t>.</w:t>
      </w:r>
    </w:p>
    <w:p w14:paraId="544B1162" w14:textId="63248A72" w:rsidR="00AF648B" w:rsidRPr="00036AEB" w:rsidRDefault="00036AEB" w:rsidP="00555CD3">
      <w:pPr>
        <w:spacing w:after="200" w:line="480" w:lineRule="auto"/>
        <w:rPr>
          <w:rFonts w:eastAsia="Times New Roman" w:cs="Times New Roman"/>
          <w:bCs/>
          <w:sz w:val="28"/>
          <w:szCs w:val="28"/>
        </w:rPr>
      </w:pPr>
      <w:r>
        <w:rPr>
          <w:rFonts w:eastAsia="Times New Roman" w:cs="Times New Roman"/>
          <w:bCs/>
          <w:sz w:val="28"/>
          <w:szCs w:val="28"/>
        </w:rPr>
        <w:t xml:space="preserve">We once again owe a big shout out to FOP Judge Ben Studdard.  He made a presentation at the winter conference for Superior Court judges and prepared some materials that helped us understand </w:t>
      </w:r>
      <w:r>
        <w:rPr>
          <w:rFonts w:eastAsia="Times New Roman" w:cs="Times New Roman"/>
          <w:bCs/>
          <w:i/>
          <w:iCs/>
          <w:sz w:val="28"/>
          <w:szCs w:val="28"/>
        </w:rPr>
        <w:t>Daubert</w:t>
      </w:r>
      <w:r>
        <w:rPr>
          <w:rFonts w:eastAsia="Times New Roman" w:cs="Times New Roman"/>
          <w:bCs/>
          <w:sz w:val="28"/>
          <w:szCs w:val="28"/>
        </w:rPr>
        <w:t>.</w:t>
      </w:r>
    </w:p>
    <w:p w14:paraId="48220091" w14:textId="39792E12" w:rsidR="00AF648B" w:rsidRDefault="00243C96" w:rsidP="00555CD3">
      <w:pPr>
        <w:spacing w:after="200" w:line="480" w:lineRule="auto"/>
        <w:rPr>
          <w:rFonts w:eastAsia="Times New Roman" w:cs="Times New Roman"/>
          <w:bCs/>
          <w:i/>
          <w:iCs/>
          <w:sz w:val="28"/>
          <w:szCs w:val="28"/>
        </w:rPr>
      </w:pPr>
      <w:r>
        <w:rPr>
          <w:rFonts w:eastAsia="Times New Roman" w:cs="Times New Roman"/>
          <w:bCs/>
          <w:i/>
          <w:iCs/>
          <w:sz w:val="28"/>
          <w:szCs w:val="28"/>
        </w:rPr>
        <w:t>Once again, the “shout out rule” comes into play.  Thanks to Judge Studdard – he’s the best.</w:t>
      </w:r>
    </w:p>
    <w:p w14:paraId="78E9394F" w14:textId="11592522" w:rsidR="00243C96" w:rsidRPr="00243C96" w:rsidRDefault="00243C96" w:rsidP="00555CD3">
      <w:pPr>
        <w:spacing w:after="200" w:line="480" w:lineRule="auto"/>
        <w:rPr>
          <w:rFonts w:eastAsia="Times New Roman" w:cs="Times New Roman"/>
          <w:bCs/>
          <w:sz w:val="28"/>
          <w:szCs w:val="28"/>
        </w:rPr>
      </w:pPr>
      <w:r>
        <w:rPr>
          <w:rFonts w:eastAsia="Times New Roman" w:cs="Times New Roman"/>
          <w:b/>
          <w:sz w:val="28"/>
          <w:szCs w:val="28"/>
        </w:rPr>
        <w:pict w14:anchorId="217B46D5">
          <v:rect id="_x0000_i1050" style="width:0;height:1.5pt" o:hralign="center" o:hrstd="t" o:hr="t" fillcolor="#a0a0a0" stroked="f"/>
        </w:pict>
      </w:r>
    </w:p>
    <w:p w14:paraId="50C2E9DE" w14:textId="17F93A56" w:rsidR="00A352EC" w:rsidRDefault="00A352EC" w:rsidP="00555CD3">
      <w:pPr>
        <w:spacing w:after="200" w:line="480" w:lineRule="auto"/>
        <w:rPr>
          <w:rFonts w:eastAsia="Times New Roman" w:cs="Times New Roman"/>
          <w:b/>
          <w:sz w:val="28"/>
          <w:szCs w:val="28"/>
        </w:rPr>
      </w:pPr>
    </w:p>
    <w:p w14:paraId="4F3FA558" w14:textId="2E22D1FD" w:rsidR="00243C96" w:rsidRDefault="00243C96" w:rsidP="00555CD3">
      <w:pPr>
        <w:spacing w:after="200" w:line="480" w:lineRule="auto"/>
        <w:rPr>
          <w:rFonts w:eastAsia="Times New Roman" w:cs="Times New Roman"/>
          <w:bCs/>
          <w:sz w:val="28"/>
          <w:szCs w:val="28"/>
        </w:rPr>
      </w:pPr>
      <w:r>
        <w:rPr>
          <w:rFonts w:eastAsia="Times New Roman" w:cs="Times New Roman"/>
          <w:bCs/>
          <w:sz w:val="28"/>
          <w:szCs w:val="28"/>
        </w:rPr>
        <w:lastRenderedPageBreak/>
        <w:t>We hope this is not a news flash to anyone listening but there was a major change to the evidence rules that came into effect on July 1, 2022.</w:t>
      </w:r>
      <w:r w:rsidR="00934E0A">
        <w:rPr>
          <w:rStyle w:val="EndnoteReference"/>
          <w:rFonts w:eastAsia="Times New Roman" w:cs="Times New Roman"/>
          <w:bCs/>
          <w:szCs w:val="28"/>
        </w:rPr>
        <w:endnoteReference w:id="1"/>
      </w:r>
    </w:p>
    <w:p w14:paraId="2CB790E3" w14:textId="2CB7DC99" w:rsidR="00243C96" w:rsidRDefault="00243C96" w:rsidP="00555CD3">
      <w:pPr>
        <w:spacing w:after="200" w:line="480" w:lineRule="auto"/>
        <w:rPr>
          <w:rFonts w:eastAsia="Times New Roman" w:cs="Times New Roman"/>
          <w:bCs/>
          <w:sz w:val="28"/>
          <w:szCs w:val="28"/>
        </w:rPr>
      </w:pPr>
      <w:r>
        <w:rPr>
          <w:rFonts w:eastAsia="Times New Roman" w:cs="Times New Roman"/>
          <w:bCs/>
          <w:sz w:val="28"/>
          <w:szCs w:val="28"/>
        </w:rPr>
        <w:t xml:space="preserve">O.C.G.A. § 24-7-702 was rewritten to provide that the </w:t>
      </w:r>
      <w:r>
        <w:rPr>
          <w:rFonts w:eastAsia="Times New Roman" w:cs="Times New Roman"/>
          <w:bCs/>
          <w:i/>
          <w:iCs/>
          <w:sz w:val="28"/>
          <w:szCs w:val="28"/>
        </w:rPr>
        <w:t>Daubert</w:t>
      </w:r>
      <w:r>
        <w:rPr>
          <w:rFonts w:eastAsia="Times New Roman" w:cs="Times New Roman"/>
          <w:bCs/>
          <w:sz w:val="28"/>
          <w:szCs w:val="28"/>
        </w:rPr>
        <w:t xml:space="preserve"> standard applies to expert testimony in </w:t>
      </w:r>
      <w:r w:rsidRPr="00C06FE0">
        <w:rPr>
          <w:rFonts w:eastAsia="Times New Roman" w:cs="Times New Roman"/>
          <w:b/>
          <w:i/>
          <w:iCs/>
          <w:sz w:val="28"/>
          <w:szCs w:val="28"/>
        </w:rPr>
        <w:t>all</w:t>
      </w:r>
      <w:r>
        <w:rPr>
          <w:rFonts w:eastAsia="Times New Roman" w:cs="Times New Roman"/>
          <w:bCs/>
          <w:sz w:val="28"/>
          <w:szCs w:val="28"/>
        </w:rPr>
        <w:t xml:space="preserve"> Georgia cases, not just civil cases.</w:t>
      </w:r>
    </w:p>
    <w:p w14:paraId="24969D3F" w14:textId="48737156" w:rsidR="00C226FC" w:rsidRPr="00C226FC" w:rsidRDefault="00C226FC" w:rsidP="00555CD3">
      <w:pPr>
        <w:spacing w:after="200" w:line="480" w:lineRule="auto"/>
        <w:rPr>
          <w:rFonts w:eastAsia="Times New Roman" w:cs="Times New Roman"/>
          <w:bCs/>
          <w:sz w:val="28"/>
          <w:szCs w:val="28"/>
        </w:rPr>
      </w:pPr>
      <w:r>
        <w:rPr>
          <w:rFonts w:eastAsia="Times New Roman" w:cs="Times New Roman"/>
          <w:bCs/>
          <w:sz w:val="28"/>
          <w:szCs w:val="28"/>
        </w:rPr>
        <w:t xml:space="preserve">The </w:t>
      </w:r>
      <w:r w:rsidR="008322F0">
        <w:rPr>
          <w:rFonts w:eastAsia="Times New Roman" w:cs="Times New Roman"/>
          <w:bCs/>
          <w:sz w:val="28"/>
          <w:szCs w:val="28"/>
        </w:rPr>
        <w:t xml:space="preserve">new </w:t>
      </w:r>
      <w:r>
        <w:rPr>
          <w:rFonts w:eastAsia="Times New Roman" w:cs="Times New Roman"/>
          <w:bCs/>
          <w:sz w:val="28"/>
          <w:szCs w:val="28"/>
        </w:rPr>
        <w:t xml:space="preserve">statute provided that </w:t>
      </w:r>
      <w:r>
        <w:rPr>
          <w:rFonts w:eastAsia="Times New Roman" w:cs="Times New Roman"/>
          <w:bCs/>
          <w:i/>
          <w:iCs/>
          <w:sz w:val="28"/>
          <w:szCs w:val="28"/>
        </w:rPr>
        <w:t>Daubert</w:t>
      </w:r>
      <w:r>
        <w:rPr>
          <w:rFonts w:eastAsia="Times New Roman" w:cs="Times New Roman"/>
          <w:bCs/>
          <w:sz w:val="28"/>
          <w:szCs w:val="28"/>
        </w:rPr>
        <w:t xml:space="preserve"> would be the applicable standard </w:t>
      </w:r>
      <w:r w:rsidRPr="00C226FC">
        <w:rPr>
          <w:rFonts w:eastAsia="Times New Roman" w:cs="Times New Roman"/>
          <w:bCs/>
          <w:sz w:val="28"/>
          <w:szCs w:val="28"/>
        </w:rPr>
        <w:t xml:space="preserve">“and shall apply to any motion made or hearing or trial commenced on or after </w:t>
      </w:r>
      <w:r w:rsidR="005C1A2B">
        <w:rPr>
          <w:rFonts w:eastAsia="Times New Roman" w:cs="Times New Roman"/>
          <w:bCs/>
          <w:sz w:val="28"/>
          <w:szCs w:val="28"/>
        </w:rPr>
        <w:t>[July 1, 2022]</w:t>
      </w:r>
      <w:r w:rsidRPr="00C226FC">
        <w:rPr>
          <w:rFonts w:eastAsia="Times New Roman" w:cs="Times New Roman"/>
          <w:bCs/>
          <w:sz w:val="28"/>
          <w:szCs w:val="28"/>
        </w:rPr>
        <w:t>.”</w:t>
      </w:r>
      <w:r>
        <w:rPr>
          <w:rStyle w:val="EndnoteReference"/>
          <w:rFonts w:eastAsia="Times New Roman" w:cs="Times New Roman"/>
          <w:bCs/>
          <w:szCs w:val="28"/>
        </w:rPr>
        <w:endnoteReference w:id="2"/>
      </w:r>
    </w:p>
    <w:p w14:paraId="73D53030" w14:textId="48F196F9" w:rsidR="00243C96" w:rsidRDefault="00934E0A" w:rsidP="00934E0A">
      <w:pPr>
        <w:spacing w:after="200" w:line="480" w:lineRule="auto"/>
        <w:ind w:left="720"/>
        <w:rPr>
          <w:rFonts w:eastAsia="Times New Roman" w:cs="Times New Roman"/>
          <w:bCs/>
          <w:sz w:val="28"/>
          <w:szCs w:val="28"/>
        </w:rPr>
      </w:pPr>
      <w:r>
        <w:rPr>
          <w:rFonts w:eastAsia="Times New Roman" w:cs="Times New Roman"/>
          <w:bCs/>
          <w:sz w:val="28"/>
          <w:szCs w:val="28"/>
        </w:rPr>
        <w:t xml:space="preserve">Previously, expert testimony in criminal cases was governed by something known as the </w:t>
      </w:r>
      <w:r>
        <w:rPr>
          <w:rFonts w:eastAsia="Times New Roman" w:cs="Times New Roman"/>
          <w:bCs/>
          <w:i/>
          <w:iCs/>
          <w:sz w:val="28"/>
          <w:szCs w:val="28"/>
        </w:rPr>
        <w:t>Harper</w:t>
      </w:r>
      <w:r>
        <w:rPr>
          <w:rFonts w:eastAsia="Times New Roman" w:cs="Times New Roman"/>
          <w:bCs/>
          <w:sz w:val="28"/>
          <w:szCs w:val="28"/>
        </w:rPr>
        <w:t xml:space="preserve"> standard.  That was the old Rule 707.  </w:t>
      </w:r>
    </w:p>
    <w:p w14:paraId="77399F74" w14:textId="073401A1" w:rsidR="00934E0A" w:rsidRDefault="00934E0A" w:rsidP="00934E0A">
      <w:pPr>
        <w:spacing w:after="200" w:line="480" w:lineRule="auto"/>
        <w:ind w:left="720"/>
        <w:rPr>
          <w:rFonts w:eastAsia="Times New Roman" w:cs="Times New Roman"/>
          <w:bCs/>
          <w:sz w:val="28"/>
          <w:szCs w:val="28"/>
        </w:rPr>
      </w:pPr>
      <w:r>
        <w:rPr>
          <w:rFonts w:eastAsia="Times New Roman" w:cs="Times New Roman"/>
          <w:bCs/>
          <w:sz w:val="28"/>
          <w:szCs w:val="28"/>
        </w:rPr>
        <w:t xml:space="preserve">As of July 1, 2022, </w:t>
      </w:r>
      <w:r>
        <w:rPr>
          <w:rFonts w:eastAsia="Times New Roman" w:cs="Times New Roman"/>
          <w:bCs/>
          <w:i/>
          <w:iCs/>
          <w:sz w:val="28"/>
          <w:szCs w:val="28"/>
        </w:rPr>
        <w:t>Harper</w:t>
      </w:r>
      <w:r>
        <w:rPr>
          <w:rFonts w:eastAsia="Times New Roman" w:cs="Times New Roman"/>
          <w:bCs/>
          <w:sz w:val="28"/>
          <w:szCs w:val="28"/>
        </w:rPr>
        <w:t xml:space="preserve"> is no longer the applicable standard in criminal cases.  </w:t>
      </w:r>
      <w:r>
        <w:rPr>
          <w:rFonts w:eastAsia="Times New Roman" w:cs="Times New Roman"/>
          <w:bCs/>
          <w:sz w:val="28"/>
          <w:szCs w:val="28"/>
          <w:u w:val="single"/>
        </w:rPr>
        <w:t>All</w:t>
      </w:r>
      <w:r>
        <w:rPr>
          <w:rFonts w:eastAsia="Times New Roman" w:cs="Times New Roman"/>
          <w:bCs/>
          <w:sz w:val="28"/>
          <w:szCs w:val="28"/>
        </w:rPr>
        <w:t xml:space="preserve"> determinations on the admissibility of expert testimony is now subject to the </w:t>
      </w:r>
      <w:r>
        <w:rPr>
          <w:rFonts w:eastAsia="Times New Roman" w:cs="Times New Roman"/>
          <w:bCs/>
          <w:i/>
          <w:iCs/>
          <w:sz w:val="28"/>
          <w:szCs w:val="28"/>
        </w:rPr>
        <w:t>Daubert</w:t>
      </w:r>
      <w:r>
        <w:rPr>
          <w:rFonts w:eastAsia="Times New Roman" w:cs="Times New Roman"/>
          <w:bCs/>
          <w:sz w:val="28"/>
          <w:szCs w:val="28"/>
        </w:rPr>
        <w:t xml:space="preserve"> standard – regardless of whether the case is a criminal case or a civil case.</w:t>
      </w:r>
    </w:p>
    <w:p w14:paraId="712F3814" w14:textId="2AE4FF4C" w:rsidR="00934E0A" w:rsidRDefault="00934E0A" w:rsidP="00934E0A">
      <w:pPr>
        <w:spacing w:after="200" w:line="480" w:lineRule="auto"/>
        <w:rPr>
          <w:rFonts w:eastAsia="Times New Roman" w:cs="Times New Roman"/>
          <w:bCs/>
          <w:sz w:val="28"/>
          <w:szCs w:val="28"/>
        </w:rPr>
      </w:pPr>
      <w:r>
        <w:rPr>
          <w:rFonts w:eastAsia="Times New Roman" w:cs="Times New Roman"/>
          <w:b/>
          <w:sz w:val="28"/>
          <w:szCs w:val="28"/>
        </w:rPr>
        <w:pict w14:anchorId="1343CB90">
          <v:rect id="_x0000_i1051" style="width:0;height:1.5pt" o:hralign="center" o:hrstd="t" o:hr="t" fillcolor="#a0a0a0" stroked="f"/>
        </w:pict>
      </w:r>
    </w:p>
    <w:p w14:paraId="75898DB1" w14:textId="0FCFD9BF" w:rsidR="008322F0" w:rsidRDefault="008322F0" w:rsidP="00934E0A">
      <w:pPr>
        <w:spacing w:after="200" w:line="480" w:lineRule="auto"/>
        <w:rPr>
          <w:rFonts w:eastAsia="Times New Roman" w:cs="Times New Roman"/>
          <w:bCs/>
          <w:sz w:val="28"/>
          <w:szCs w:val="28"/>
        </w:rPr>
      </w:pPr>
      <w:r>
        <w:rPr>
          <w:rFonts w:eastAsia="Times New Roman" w:cs="Times New Roman"/>
          <w:bCs/>
          <w:sz w:val="28"/>
          <w:szCs w:val="28"/>
        </w:rPr>
        <w:t xml:space="preserve">The two of us finally came to a realization on why we know so little about </w:t>
      </w:r>
      <w:r>
        <w:rPr>
          <w:rFonts w:eastAsia="Times New Roman" w:cs="Times New Roman"/>
          <w:bCs/>
          <w:i/>
          <w:iCs/>
          <w:sz w:val="28"/>
          <w:szCs w:val="28"/>
        </w:rPr>
        <w:t>Daubert</w:t>
      </w:r>
      <w:r>
        <w:rPr>
          <w:rFonts w:eastAsia="Times New Roman" w:cs="Times New Roman"/>
          <w:bCs/>
          <w:sz w:val="28"/>
          <w:szCs w:val="28"/>
        </w:rPr>
        <w:t xml:space="preserve">.  The </w:t>
      </w:r>
      <w:r>
        <w:rPr>
          <w:rFonts w:eastAsia="Times New Roman" w:cs="Times New Roman"/>
          <w:bCs/>
          <w:i/>
          <w:iCs/>
          <w:sz w:val="28"/>
          <w:szCs w:val="28"/>
        </w:rPr>
        <w:t>Daubert</w:t>
      </w:r>
      <w:r>
        <w:rPr>
          <w:rFonts w:eastAsia="Times New Roman" w:cs="Times New Roman"/>
          <w:bCs/>
          <w:sz w:val="28"/>
          <w:szCs w:val="28"/>
        </w:rPr>
        <w:t xml:space="preserve"> decision from the US Supreme Court was not issued until 1993.</w:t>
      </w:r>
    </w:p>
    <w:p w14:paraId="33E11E46" w14:textId="77777777" w:rsidR="005C1A2B" w:rsidRDefault="005C1A2B" w:rsidP="00934E0A">
      <w:pPr>
        <w:spacing w:after="200" w:line="480" w:lineRule="auto"/>
        <w:rPr>
          <w:rFonts w:eastAsia="Times New Roman" w:cs="Times New Roman"/>
          <w:bCs/>
          <w:sz w:val="28"/>
          <w:szCs w:val="28"/>
        </w:rPr>
      </w:pPr>
    </w:p>
    <w:p w14:paraId="5A18D519" w14:textId="78DBC2EC" w:rsidR="008322F0" w:rsidRDefault="008322F0" w:rsidP="00934E0A">
      <w:pPr>
        <w:spacing w:after="200" w:line="480" w:lineRule="auto"/>
        <w:rPr>
          <w:rFonts w:eastAsia="Times New Roman" w:cs="Times New Roman"/>
          <w:bCs/>
          <w:sz w:val="28"/>
          <w:szCs w:val="28"/>
        </w:rPr>
      </w:pPr>
      <w:r>
        <w:rPr>
          <w:rFonts w:eastAsia="Times New Roman" w:cs="Times New Roman"/>
          <w:bCs/>
          <w:sz w:val="28"/>
          <w:szCs w:val="28"/>
        </w:rPr>
        <w:lastRenderedPageBreak/>
        <w:tab/>
        <w:t xml:space="preserve">Both of us had completed law school before </w:t>
      </w:r>
      <w:r>
        <w:rPr>
          <w:rFonts w:eastAsia="Times New Roman" w:cs="Times New Roman"/>
          <w:bCs/>
          <w:i/>
          <w:iCs/>
          <w:sz w:val="28"/>
          <w:szCs w:val="28"/>
        </w:rPr>
        <w:t>Daubert</w:t>
      </w:r>
      <w:r>
        <w:rPr>
          <w:rFonts w:eastAsia="Times New Roman" w:cs="Times New Roman"/>
          <w:bCs/>
          <w:sz w:val="28"/>
          <w:szCs w:val="28"/>
        </w:rPr>
        <w:t xml:space="preserve"> was decided.</w:t>
      </w:r>
    </w:p>
    <w:p w14:paraId="21D1E307" w14:textId="604ADE45" w:rsidR="008322F0" w:rsidRDefault="008322F0" w:rsidP="00934E0A">
      <w:pPr>
        <w:spacing w:after="200" w:line="480" w:lineRule="auto"/>
        <w:rPr>
          <w:rFonts w:eastAsia="Times New Roman" w:cs="Times New Roman"/>
          <w:bCs/>
          <w:sz w:val="28"/>
          <w:szCs w:val="28"/>
        </w:rPr>
      </w:pPr>
      <w:r>
        <w:rPr>
          <w:rFonts w:eastAsia="Times New Roman" w:cs="Times New Roman"/>
          <w:bCs/>
          <w:sz w:val="28"/>
          <w:szCs w:val="28"/>
        </w:rPr>
        <w:tab/>
        <w:t xml:space="preserve">We didn’t learn it in </w:t>
      </w:r>
      <w:r w:rsidR="005C1A2B">
        <w:rPr>
          <w:rFonts w:eastAsia="Times New Roman" w:cs="Times New Roman"/>
          <w:bCs/>
          <w:sz w:val="28"/>
          <w:szCs w:val="28"/>
        </w:rPr>
        <w:t>law</w:t>
      </w:r>
      <w:r>
        <w:rPr>
          <w:rFonts w:eastAsia="Times New Roman" w:cs="Times New Roman"/>
          <w:bCs/>
          <w:sz w:val="28"/>
          <w:szCs w:val="28"/>
        </w:rPr>
        <w:t xml:space="preserve"> school</w:t>
      </w:r>
      <w:r w:rsidR="005C1A2B">
        <w:rPr>
          <w:rFonts w:eastAsia="Times New Roman" w:cs="Times New Roman"/>
          <w:bCs/>
          <w:sz w:val="28"/>
          <w:szCs w:val="28"/>
        </w:rPr>
        <w:t xml:space="preserve"> – because it wasn’t a thing</w:t>
      </w:r>
      <w:r w:rsidR="00BC4399">
        <w:rPr>
          <w:rFonts w:eastAsia="Times New Roman" w:cs="Times New Roman"/>
          <w:bCs/>
          <w:sz w:val="28"/>
          <w:szCs w:val="28"/>
        </w:rPr>
        <w:t>!</w:t>
      </w:r>
    </w:p>
    <w:p w14:paraId="31BB011A" w14:textId="74C83293" w:rsidR="008322F0" w:rsidRDefault="008322F0" w:rsidP="00934E0A">
      <w:pPr>
        <w:spacing w:after="200" w:line="480" w:lineRule="auto"/>
        <w:rPr>
          <w:rFonts w:eastAsia="Times New Roman" w:cs="Times New Roman"/>
          <w:bCs/>
          <w:sz w:val="28"/>
          <w:szCs w:val="28"/>
        </w:rPr>
      </w:pPr>
      <w:r>
        <w:rPr>
          <w:rFonts w:eastAsia="Times New Roman" w:cs="Times New Roman"/>
          <w:bCs/>
          <w:sz w:val="28"/>
          <w:szCs w:val="28"/>
        </w:rPr>
        <w:t>Every day, I feel one step closer to the “got off my lawn” old guy.</w:t>
      </w:r>
    </w:p>
    <w:p w14:paraId="3F493221" w14:textId="7BEF6EF8" w:rsidR="008322F0" w:rsidRPr="008322F0" w:rsidRDefault="008322F0" w:rsidP="00934E0A">
      <w:pPr>
        <w:spacing w:after="200" w:line="480" w:lineRule="auto"/>
        <w:rPr>
          <w:rFonts w:eastAsia="Times New Roman" w:cs="Times New Roman"/>
          <w:bCs/>
          <w:sz w:val="28"/>
          <w:szCs w:val="28"/>
        </w:rPr>
      </w:pPr>
      <w:r>
        <w:rPr>
          <w:rFonts w:eastAsia="Times New Roman" w:cs="Times New Roman"/>
          <w:b/>
          <w:sz w:val="28"/>
          <w:szCs w:val="28"/>
        </w:rPr>
        <w:pict w14:anchorId="5BC050FA">
          <v:rect id="_x0000_i1055" style="width:0;height:1.5pt" o:hralign="center" o:hrstd="t" o:hr="t" fillcolor="#a0a0a0" stroked="f"/>
        </w:pict>
      </w:r>
    </w:p>
    <w:p w14:paraId="10C437C3" w14:textId="410124CB" w:rsidR="008322F0" w:rsidRDefault="00A66E9C" w:rsidP="00934E0A">
      <w:pPr>
        <w:spacing w:after="200" w:line="480" w:lineRule="auto"/>
        <w:rPr>
          <w:rFonts w:eastAsia="Times New Roman" w:cs="Times New Roman"/>
          <w:bCs/>
          <w:sz w:val="28"/>
          <w:szCs w:val="28"/>
        </w:rPr>
      </w:pPr>
      <w:r>
        <w:rPr>
          <w:rFonts w:eastAsia="Times New Roman" w:cs="Times New Roman"/>
          <w:bCs/>
          <w:sz w:val="28"/>
          <w:szCs w:val="28"/>
        </w:rPr>
        <w:t xml:space="preserve">It will come as no surprise that there are no Georgia criminal appellate cases where issues relating to </w:t>
      </w:r>
      <w:r>
        <w:rPr>
          <w:rFonts w:eastAsia="Times New Roman" w:cs="Times New Roman"/>
          <w:bCs/>
          <w:i/>
          <w:iCs/>
          <w:sz w:val="28"/>
          <w:szCs w:val="28"/>
        </w:rPr>
        <w:t>Daubert</w:t>
      </w:r>
      <w:r>
        <w:rPr>
          <w:rFonts w:eastAsia="Times New Roman" w:cs="Times New Roman"/>
          <w:bCs/>
          <w:sz w:val="28"/>
          <w:szCs w:val="28"/>
        </w:rPr>
        <w:t xml:space="preserve"> have been decided.</w:t>
      </w:r>
      <w:r w:rsidR="00C226FC">
        <w:rPr>
          <w:rFonts w:eastAsia="Times New Roman" w:cs="Times New Roman"/>
          <w:bCs/>
          <w:sz w:val="28"/>
          <w:szCs w:val="28"/>
        </w:rPr>
        <w:t xml:space="preserve"> </w:t>
      </w:r>
      <w:r w:rsidR="008322F0">
        <w:rPr>
          <w:rFonts w:eastAsia="Times New Roman" w:cs="Times New Roman"/>
          <w:bCs/>
          <w:sz w:val="28"/>
          <w:szCs w:val="28"/>
        </w:rPr>
        <w:t>It was not the law until July 2022!</w:t>
      </w:r>
      <w:r w:rsidR="00C226FC">
        <w:rPr>
          <w:rFonts w:eastAsia="Times New Roman" w:cs="Times New Roman"/>
          <w:bCs/>
          <w:sz w:val="28"/>
          <w:szCs w:val="28"/>
        </w:rPr>
        <w:t xml:space="preserve"> </w:t>
      </w:r>
    </w:p>
    <w:p w14:paraId="7FF6A260" w14:textId="2B810C5E" w:rsidR="00A66E9C" w:rsidRDefault="00C226FC" w:rsidP="008322F0">
      <w:pPr>
        <w:spacing w:after="200" w:line="480" w:lineRule="auto"/>
        <w:ind w:left="720"/>
        <w:rPr>
          <w:rFonts w:eastAsia="Times New Roman" w:cs="Times New Roman"/>
          <w:bCs/>
          <w:sz w:val="28"/>
          <w:szCs w:val="28"/>
        </w:rPr>
      </w:pPr>
      <w:r>
        <w:rPr>
          <w:rFonts w:eastAsia="Times New Roman" w:cs="Times New Roman"/>
          <w:bCs/>
          <w:sz w:val="28"/>
          <w:szCs w:val="28"/>
        </w:rPr>
        <w:t>I am sure that are several in the pipeline, but there are no decisions on point from Georgia’s appellate courts.</w:t>
      </w:r>
    </w:p>
    <w:p w14:paraId="06E3A255" w14:textId="6611D26F" w:rsidR="00666DF6" w:rsidRDefault="00666DF6" w:rsidP="00934E0A">
      <w:pPr>
        <w:spacing w:after="200" w:line="480" w:lineRule="auto"/>
        <w:rPr>
          <w:rFonts w:eastAsia="Times New Roman" w:cs="Times New Roman"/>
          <w:bCs/>
          <w:sz w:val="28"/>
          <w:szCs w:val="28"/>
        </w:rPr>
      </w:pPr>
      <w:r>
        <w:rPr>
          <w:rFonts w:eastAsia="Times New Roman" w:cs="Times New Roman"/>
          <w:bCs/>
          <w:sz w:val="28"/>
          <w:szCs w:val="28"/>
        </w:rPr>
        <w:t>This change in the evidence code (and the lack of Georgia cases on point) requires us to go back in the evidence time machine – back to when the 2013 changes were first passed.</w:t>
      </w:r>
    </w:p>
    <w:p w14:paraId="54C2DCF1" w14:textId="64D70428" w:rsidR="00666DF6" w:rsidRDefault="00666DF6" w:rsidP="00934E0A">
      <w:pPr>
        <w:spacing w:after="200" w:line="480" w:lineRule="auto"/>
        <w:rPr>
          <w:rFonts w:eastAsia="Times New Roman" w:cs="Times New Roman"/>
          <w:bCs/>
          <w:sz w:val="28"/>
          <w:szCs w:val="28"/>
        </w:rPr>
      </w:pPr>
      <w:r>
        <w:rPr>
          <w:rFonts w:eastAsia="Times New Roman" w:cs="Times New Roman"/>
          <w:bCs/>
          <w:sz w:val="28"/>
          <w:szCs w:val="28"/>
        </w:rPr>
        <w:tab/>
        <w:t>Professor Milich said it well:</w:t>
      </w:r>
    </w:p>
    <w:p w14:paraId="27C75E21" w14:textId="642F602A" w:rsidR="00666DF6" w:rsidRDefault="00666DF6" w:rsidP="00666DF6">
      <w:pPr>
        <w:spacing w:after="200" w:line="480" w:lineRule="auto"/>
        <w:ind w:left="720"/>
        <w:rPr>
          <w:rFonts w:eastAsia="Times New Roman" w:cs="Times New Roman"/>
          <w:bCs/>
          <w:sz w:val="28"/>
          <w:szCs w:val="28"/>
        </w:rPr>
      </w:pPr>
      <w:r w:rsidRPr="00666DF6">
        <w:rPr>
          <w:rFonts w:eastAsia="Times New Roman" w:cs="Times New Roman"/>
          <w:bCs/>
          <w:sz w:val="28"/>
          <w:szCs w:val="28"/>
        </w:rPr>
        <w:t>“As stated in the Preamble to the new Code</w:t>
      </w:r>
      <w:r w:rsidR="00C06FE0">
        <w:rPr>
          <w:rFonts w:eastAsia="Times New Roman" w:cs="Times New Roman"/>
          <w:bCs/>
          <w:sz w:val="28"/>
          <w:szCs w:val="28"/>
        </w:rPr>
        <w:t>…</w:t>
      </w:r>
      <w:r w:rsidRPr="00666DF6">
        <w:rPr>
          <w:rFonts w:eastAsia="Times New Roman" w:cs="Times New Roman"/>
          <w:bCs/>
          <w:sz w:val="28"/>
          <w:szCs w:val="28"/>
        </w:rPr>
        <w:t xml:space="preserve">‘It is the intent of the General Assembly in enacting this Act to adopt the Federal Rules of Evidence, as interpreted by the Supreme Court of the United States and the United States circuit courts of appeal as of January 1, 2013, to the extent that such interpretation is consistent with the Constitution of Georgia. Where conflicts </w:t>
      </w:r>
      <w:r w:rsidRPr="00666DF6">
        <w:rPr>
          <w:rFonts w:eastAsia="Times New Roman" w:cs="Times New Roman"/>
          <w:bCs/>
          <w:sz w:val="28"/>
          <w:szCs w:val="28"/>
        </w:rPr>
        <w:lastRenderedPageBreak/>
        <w:t>were found to exist among the decisions of the various circuit courts of appeal interpreting the federal rules of evidence, the General Assembly considered the decisions of the 11th Circuit Court of Appeals.’”</w:t>
      </w:r>
      <w:r w:rsidRPr="00666DF6">
        <w:rPr>
          <w:rFonts w:eastAsia="Times New Roman" w:cs="Times New Roman"/>
          <w:b/>
          <w:bCs/>
          <w:sz w:val="28"/>
          <w:szCs w:val="28"/>
          <w:vertAlign w:val="superscript"/>
        </w:rPr>
        <w:endnoteReference w:id="3"/>
      </w:r>
    </w:p>
    <w:p w14:paraId="04D81E8B" w14:textId="22A0C3BF" w:rsidR="00495FCA" w:rsidRDefault="00666DF6" w:rsidP="00495FCA">
      <w:pPr>
        <w:spacing w:after="200" w:line="480" w:lineRule="auto"/>
        <w:rPr>
          <w:rFonts w:eastAsia="Times New Roman" w:cs="Times New Roman"/>
          <w:bCs/>
          <w:sz w:val="28"/>
          <w:szCs w:val="28"/>
        </w:rPr>
      </w:pPr>
      <w:r>
        <w:rPr>
          <w:rFonts w:eastAsia="Times New Roman" w:cs="Times New Roman"/>
          <w:bCs/>
          <w:sz w:val="28"/>
          <w:szCs w:val="28"/>
        </w:rPr>
        <w:t xml:space="preserve">We tell you all of that law and learned treatise language to make a larger point </w:t>
      </w:r>
      <w:r w:rsidR="00495FCA">
        <w:rPr>
          <w:rFonts w:eastAsia="Times New Roman" w:cs="Times New Roman"/>
          <w:bCs/>
          <w:sz w:val="28"/>
          <w:szCs w:val="28"/>
        </w:rPr>
        <w:t>–</w:t>
      </w:r>
      <w:r>
        <w:rPr>
          <w:rFonts w:eastAsia="Times New Roman" w:cs="Times New Roman"/>
          <w:bCs/>
          <w:sz w:val="28"/>
          <w:szCs w:val="28"/>
        </w:rPr>
        <w:t xml:space="preserve"> </w:t>
      </w:r>
      <w:r w:rsidR="00495FCA">
        <w:rPr>
          <w:rFonts w:eastAsia="Times New Roman" w:cs="Times New Roman"/>
          <w:bCs/>
          <w:sz w:val="28"/>
          <w:szCs w:val="28"/>
        </w:rPr>
        <w:t>we are instructed to look first at the law of the 11</w:t>
      </w:r>
      <w:r w:rsidR="00495FCA" w:rsidRPr="00495FCA">
        <w:rPr>
          <w:rFonts w:eastAsia="Times New Roman" w:cs="Times New Roman"/>
          <w:bCs/>
          <w:sz w:val="28"/>
          <w:szCs w:val="28"/>
          <w:vertAlign w:val="superscript"/>
        </w:rPr>
        <w:t>th</w:t>
      </w:r>
      <w:r w:rsidR="00495FCA">
        <w:rPr>
          <w:rFonts w:eastAsia="Times New Roman" w:cs="Times New Roman"/>
          <w:bCs/>
          <w:sz w:val="28"/>
          <w:szCs w:val="28"/>
        </w:rPr>
        <w:t xml:space="preserve"> Circuit when there are disagreements among the different federal circuits on issues relating to evidence law.</w:t>
      </w:r>
    </w:p>
    <w:p w14:paraId="5AF0ED43" w14:textId="5770CABD" w:rsidR="00C06FE0" w:rsidRDefault="00336E4C" w:rsidP="00495FCA">
      <w:pPr>
        <w:spacing w:after="200" w:line="480" w:lineRule="auto"/>
        <w:rPr>
          <w:rFonts w:eastAsia="Times New Roman" w:cs="Times New Roman"/>
          <w:bCs/>
          <w:sz w:val="28"/>
          <w:szCs w:val="28"/>
        </w:rPr>
      </w:pPr>
      <w:r>
        <w:rPr>
          <w:rFonts w:eastAsia="Times New Roman" w:cs="Times New Roman"/>
          <w:bCs/>
          <w:sz w:val="28"/>
          <w:szCs w:val="28"/>
        </w:rPr>
        <w:t xml:space="preserve">The Georgia Supreme Court made a statement </w:t>
      </w:r>
      <w:r w:rsidR="00892338">
        <w:rPr>
          <w:rFonts w:eastAsia="Times New Roman" w:cs="Times New Roman"/>
          <w:bCs/>
          <w:sz w:val="28"/>
          <w:szCs w:val="28"/>
        </w:rPr>
        <w:t xml:space="preserve">on this point </w:t>
      </w:r>
      <w:r>
        <w:rPr>
          <w:rFonts w:eastAsia="Times New Roman" w:cs="Times New Roman"/>
          <w:bCs/>
          <w:sz w:val="28"/>
          <w:szCs w:val="28"/>
        </w:rPr>
        <w:t xml:space="preserve">that may even be more succinct.  When discussing a hearsay exception in </w:t>
      </w:r>
      <w:r>
        <w:rPr>
          <w:rFonts w:eastAsia="Times New Roman" w:cs="Times New Roman"/>
          <w:bCs/>
          <w:i/>
          <w:iCs/>
          <w:sz w:val="28"/>
          <w:szCs w:val="28"/>
        </w:rPr>
        <w:t xml:space="preserve">State v. Almanza, </w:t>
      </w:r>
      <w:r>
        <w:rPr>
          <w:rFonts w:eastAsia="Times New Roman" w:cs="Times New Roman"/>
          <w:bCs/>
          <w:sz w:val="28"/>
          <w:szCs w:val="28"/>
        </w:rPr>
        <w:t xml:space="preserve">the Supreme Court held: </w:t>
      </w:r>
    </w:p>
    <w:p w14:paraId="0C8241B1" w14:textId="6C191F31" w:rsidR="00336E4C" w:rsidRDefault="00336E4C" w:rsidP="00C06FE0">
      <w:pPr>
        <w:spacing w:after="200" w:line="480" w:lineRule="auto"/>
        <w:ind w:left="720"/>
        <w:rPr>
          <w:rFonts w:eastAsia="Times New Roman" w:cs="Times New Roman"/>
          <w:bCs/>
          <w:sz w:val="28"/>
          <w:szCs w:val="28"/>
        </w:rPr>
      </w:pPr>
      <w:r>
        <w:rPr>
          <w:rFonts w:eastAsia="Times New Roman" w:cs="Times New Roman"/>
          <w:bCs/>
          <w:sz w:val="28"/>
          <w:szCs w:val="28"/>
        </w:rPr>
        <w:t>“</w:t>
      </w:r>
      <w:r w:rsidRPr="00336E4C">
        <w:rPr>
          <w:rFonts w:eastAsia="Times New Roman" w:cs="Times New Roman"/>
          <w:bCs/>
          <w:sz w:val="28"/>
          <w:szCs w:val="28"/>
        </w:rPr>
        <w:t>Having found a Federal Rule of Evidence using materially identical language that addresses the evidentiary issue covered by Rule 803(4), the question of whether to apply state or federal precedent ends: we look to federal appellate precedent until a Georgia appellate court decides the issue under the new Code</w:t>
      </w:r>
      <w:r w:rsidR="00C06FE0">
        <w:rPr>
          <w:rFonts w:eastAsia="Times New Roman" w:cs="Times New Roman"/>
          <w:bCs/>
          <w:sz w:val="28"/>
          <w:szCs w:val="28"/>
        </w:rPr>
        <w:t>…</w:t>
      </w:r>
      <w:r w:rsidRPr="00336E4C">
        <w:rPr>
          <w:rFonts w:eastAsia="Times New Roman" w:cs="Times New Roman"/>
          <w:bCs/>
          <w:sz w:val="28"/>
          <w:szCs w:val="28"/>
        </w:rPr>
        <w:t xml:space="preserve">because the state rule mirrors Federal Rule 803(4), it is now read as interpreted by the federal appellate courts as of the effective date of the new </w:t>
      </w:r>
      <w:r w:rsidR="00C06FE0">
        <w:rPr>
          <w:rFonts w:eastAsia="Times New Roman" w:cs="Times New Roman"/>
          <w:bCs/>
          <w:sz w:val="28"/>
          <w:szCs w:val="28"/>
        </w:rPr>
        <w:t xml:space="preserve">[Georgia evidence] </w:t>
      </w:r>
      <w:r w:rsidRPr="00336E4C">
        <w:rPr>
          <w:rFonts w:eastAsia="Times New Roman" w:cs="Times New Roman"/>
          <w:bCs/>
          <w:sz w:val="28"/>
          <w:szCs w:val="28"/>
        </w:rPr>
        <w:t>Code.</w:t>
      </w:r>
      <w:r w:rsidR="00C06FE0">
        <w:rPr>
          <w:rFonts w:eastAsia="Times New Roman" w:cs="Times New Roman"/>
          <w:bCs/>
          <w:sz w:val="28"/>
          <w:szCs w:val="28"/>
        </w:rPr>
        <w:t>”</w:t>
      </w:r>
      <w:r w:rsidRPr="00336E4C">
        <w:rPr>
          <w:rFonts w:eastAsia="Times New Roman" w:cs="Times New Roman"/>
          <w:b/>
          <w:bCs/>
          <w:sz w:val="28"/>
          <w:szCs w:val="28"/>
          <w:vertAlign w:val="superscript"/>
        </w:rPr>
        <w:endnoteReference w:id="4"/>
      </w:r>
      <w:r>
        <w:rPr>
          <w:rFonts w:eastAsia="Times New Roman" w:cs="Times New Roman"/>
          <w:bCs/>
          <w:sz w:val="28"/>
          <w:szCs w:val="28"/>
        </w:rPr>
        <w:t xml:space="preserve"> </w:t>
      </w:r>
    </w:p>
    <w:p w14:paraId="73603C72" w14:textId="5B2D0897" w:rsidR="00495FCA" w:rsidRDefault="00495FCA" w:rsidP="00495FCA">
      <w:pPr>
        <w:spacing w:after="200" w:line="480" w:lineRule="auto"/>
        <w:rPr>
          <w:rFonts w:eastAsia="Times New Roman" w:cs="Times New Roman"/>
          <w:bCs/>
          <w:sz w:val="28"/>
          <w:szCs w:val="28"/>
        </w:rPr>
      </w:pPr>
      <w:r>
        <w:rPr>
          <w:rFonts w:eastAsia="Times New Roman" w:cs="Times New Roman"/>
          <w:b/>
          <w:sz w:val="28"/>
          <w:szCs w:val="28"/>
        </w:rPr>
        <w:pict w14:anchorId="60133033">
          <v:rect id="_x0000_i1054" style="width:0;height:1.5pt" o:hralign="center" o:hrstd="t" o:hr="t" fillcolor="#a0a0a0" stroked="f"/>
        </w:pict>
      </w:r>
    </w:p>
    <w:p w14:paraId="40C75CE4" w14:textId="1D1EAA86" w:rsidR="00495FCA" w:rsidRDefault="00495FCA" w:rsidP="00495FCA">
      <w:pPr>
        <w:spacing w:after="200" w:line="480" w:lineRule="auto"/>
        <w:rPr>
          <w:rFonts w:eastAsia="Times New Roman" w:cs="Times New Roman"/>
          <w:bCs/>
          <w:sz w:val="28"/>
          <w:szCs w:val="28"/>
        </w:rPr>
      </w:pPr>
      <w:r>
        <w:rPr>
          <w:rFonts w:eastAsia="Times New Roman" w:cs="Times New Roman"/>
          <w:bCs/>
          <w:sz w:val="28"/>
          <w:szCs w:val="28"/>
        </w:rPr>
        <w:lastRenderedPageBreak/>
        <w:t xml:space="preserve">As you might imagine, there is little </w:t>
      </w:r>
      <w:r w:rsidRPr="00F5353B">
        <w:rPr>
          <w:rFonts w:eastAsia="Times New Roman" w:cs="Times New Roman"/>
          <w:bCs/>
          <w:sz w:val="28"/>
          <w:szCs w:val="28"/>
          <w:u w:val="single"/>
        </w:rPr>
        <w:t>federal</w:t>
      </w:r>
      <w:r>
        <w:rPr>
          <w:rFonts w:eastAsia="Times New Roman" w:cs="Times New Roman"/>
          <w:bCs/>
          <w:sz w:val="28"/>
          <w:szCs w:val="28"/>
        </w:rPr>
        <w:t xml:space="preserve"> law on topics such as the admissibility of DUI field sobriety tests and other criminal issues that come before our courts on a regular basis.</w:t>
      </w:r>
    </w:p>
    <w:p w14:paraId="3C80A5CE" w14:textId="6F74999B" w:rsidR="00892338" w:rsidRDefault="00892338" w:rsidP="00BC4399">
      <w:pPr>
        <w:spacing w:after="200" w:line="480" w:lineRule="auto"/>
        <w:ind w:left="720"/>
        <w:rPr>
          <w:rFonts w:eastAsia="Times New Roman" w:cs="Times New Roman"/>
          <w:bCs/>
          <w:sz w:val="28"/>
          <w:szCs w:val="28"/>
        </w:rPr>
      </w:pPr>
      <w:r>
        <w:rPr>
          <w:rFonts w:eastAsia="Times New Roman" w:cs="Times New Roman"/>
          <w:bCs/>
          <w:sz w:val="28"/>
          <w:szCs w:val="28"/>
        </w:rPr>
        <w:t>They do not have many federal DUI cases.</w:t>
      </w:r>
      <w:r w:rsidR="00BC4399">
        <w:rPr>
          <w:rFonts w:eastAsia="Times New Roman" w:cs="Times New Roman"/>
          <w:bCs/>
          <w:sz w:val="28"/>
          <w:szCs w:val="28"/>
        </w:rPr>
        <w:t xml:space="preserve">  Don’t believe us?  Consider this quote from a federal case:</w:t>
      </w:r>
    </w:p>
    <w:p w14:paraId="6946B84F" w14:textId="2EF859D5" w:rsidR="007E402B" w:rsidRDefault="007E402B" w:rsidP="00495FCA">
      <w:pPr>
        <w:spacing w:after="200" w:line="480" w:lineRule="auto"/>
        <w:rPr>
          <w:rFonts w:eastAsia="Times New Roman" w:cs="Times New Roman"/>
          <w:bCs/>
          <w:sz w:val="28"/>
          <w:szCs w:val="28"/>
        </w:rPr>
      </w:pPr>
      <w:r w:rsidRPr="007E402B">
        <w:rPr>
          <w:rFonts w:eastAsia="Times New Roman" w:cs="Times New Roman"/>
          <w:bCs/>
          <w:sz w:val="28"/>
          <w:szCs w:val="28"/>
        </w:rPr>
        <w:t>“[b]ecause intoxicated driving offenses are generally state offenses that are tried only in federal courts [under limited circumstances], federal case law on the admissibility of [field sobriety tests] is sparse.”</w:t>
      </w:r>
      <w:r w:rsidRPr="007E402B">
        <w:rPr>
          <w:rFonts w:eastAsia="Times New Roman" w:cs="Times New Roman"/>
          <w:b/>
          <w:bCs/>
          <w:sz w:val="28"/>
          <w:szCs w:val="28"/>
          <w:vertAlign w:val="superscript"/>
        </w:rPr>
        <w:endnoteReference w:id="5"/>
      </w:r>
    </w:p>
    <w:p w14:paraId="089B0551" w14:textId="204EE9A1" w:rsidR="007E402B" w:rsidRPr="00495FCA" w:rsidRDefault="007E402B" w:rsidP="00495FCA">
      <w:pPr>
        <w:spacing w:after="200" w:line="480" w:lineRule="auto"/>
        <w:rPr>
          <w:rFonts w:eastAsia="Times New Roman" w:cs="Times New Roman"/>
          <w:bCs/>
          <w:sz w:val="28"/>
          <w:szCs w:val="28"/>
        </w:rPr>
      </w:pPr>
      <w:r>
        <w:rPr>
          <w:rFonts w:eastAsia="Times New Roman" w:cs="Times New Roman"/>
          <w:bCs/>
          <w:sz w:val="28"/>
          <w:szCs w:val="28"/>
        </w:rPr>
        <w:tab/>
        <w:t>What an understatement!</w:t>
      </w:r>
    </w:p>
    <w:p w14:paraId="548F48AF" w14:textId="77777777" w:rsidR="00C226FC" w:rsidRPr="00495FCA" w:rsidRDefault="00C226FC" w:rsidP="00892338">
      <w:pPr>
        <w:pStyle w:val="ListParagraph"/>
        <w:numPr>
          <w:ilvl w:val="0"/>
          <w:numId w:val="5"/>
        </w:numPr>
        <w:spacing w:after="200" w:line="480" w:lineRule="auto"/>
        <w:ind w:left="360"/>
        <w:rPr>
          <w:rFonts w:eastAsia="Times New Roman" w:cs="Times New Roman"/>
          <w:bCs/>
          <w:sz w:val="28"/>
          <w:szCs w:val="28"/>
        </w:rPr>
      </w:pPr>
    </w:p>
    <w:p w14:paraId="727248BC" w14:textId="64AB1976" w:rsidR="00A66E9C" w:rsidRPr="00BC4399" w:rsidRDefault="00892338" w:rsidP="00934E0A">
      <w:pPr>
        <w:spacing w:after="200" w:line="480" w:lineRule="auto"/>
        <w:rPr>
          <w:rFonts w:eastAsia="Times New Roman" w:cs="Times New Roman"/>
          <w:bCs/>
          <w:sz w:val="28"/>
          <w:szCs w:val="28"/>
        </w:rPr>
      </w:pPr>
      <w:r>
        <w:rPr>
          <w:rFonts w:eastAsia="Times New Roman" w:cs="Times New Roman"/>
          <w:bCs/>
          <w:sz w:val="28"/>
          <w:szCs w:val="28"/>
        </w:rPr>
        <w:t xml:space="preserve">We have decided against giving our loyal listeners the full history lesson on how </w:t>
      </w:r>
      <w:r>
        <w:rPr>
          <w:rFonts w:eastAsia="Times New Roman" w:cs="Times New Roman"/>
          <w:bCs/>
          <w:i/>
          <w:iCs/>
          <w:sz w:val="28"/>
          <w:szCs w:val="28"/>
        </w:rPr>
        <w:t>Daubert</w:t>
      </w:r>
      <w:r>
        <w:rPr>
          <w:rFonts w:eastAsia="Times New Roman" w:cs="Times New Roman"/>
          <w:bCs/>
          <w:sz w:val="28"/>
          <w:szCs w:val="28"/>
        </w:rPr>
        <w:t xml:space="preserve"> became a thing back in 1993.</w:t>
      </w:r>
      <w:r w:rsidR="00BC4399">
        <w:rPr>
          <w:rFonts w:eastAsia="Times New Roman" w:cs="Times New Roman"/>
          <w:bCs/>
          <w:sz w:val="28"/>
          <w:szCs w:val="28"/>
        </w:rPr>
        <w:t xml:space="preserve">  We don’t want listeners to go into a law school flashback to terms like “the </w:t>
      </w:r>
      <w:r w:rsidR="00BC4399">
        <w:rPr>
          <w:rFonts w:eastAsia="Times New Roman" w:cs="Times New Roman"/>
          <w:bCs/>
          <w:i/>
          <w:iCs/>
          <w:sz w:val="28"/>
          <w:szCs w:val="28"/>
        </w:rPr>
        <w:t>Frye</w:t>
      </w:r>
      <w:r w:rsidR="00BC4399">
        <w:rPr>
          <w:rFonts w:eastAsia="Times New Roman" w:cs="Times New Roman"/>
          <w:bCs/>
          <w:sz w:val="28"/>
          <w:szCs w:val="28"/>
        </w:rPr>
        <w:t xml:space="preserve"> standard”…</w:t>
      </w:r>
    </w:p>
    <w:p w14:paraId="62ECDCAB" w14:textId="5A545A62" w:rsidR="00892338" w:rsidRDefault="00892338" w:rsidP="00F5353B">
      <w:pPr>
        <w:spacing w:after="200" w:line="480" w:lineRule="auto"/>
        <w:ind w:left="720"/>
        <w:rPr>
          <w:rFonts w:eastAsia="Times New Roman" w:cs="Times New Roman"/>
          <w:bCs/>
          <w:sz w:val="28"/>
          <w:szCs w:val="28"/>
        </w:rPr>
      </w:pPr>
      <w:r>
        <w:rPr>
          <w:rFonts w:eastAsia="Times New Roman" w:cs="Times New Roman"/>
          <w:bCs/>
          <w:sz w:val="28"/>
          <w:szCs w:val="28"/>
        </w:rPr>
        <w:t>We all use the phrase “</w:t>
      </w:r>
      <w:r>
        <w:rPr>
          <w:rFonts w:eastAsia="Times New Roman" w:cs="Times New Roman"/>
          <w:bCs/>
          <w:i/>
          <w:iCs/>
          <w:sz w:val="28"/>
          <w:szCs w:val="28"/>
        </w:rPr>
        <w:t xml:space="preserve">Daubert </w:t>
      </w:r>
      <w:r>
        <w:rPr>
          <w:rFonts w:eastAsia="Times New Roman" w:cs="Times New Roman"/>
          <w:bCs/>
          <w:sz w:val="28"/>
          <w:szCs w:val="28"/>
        </w:rPr>
        <w:t>Standard” when discussing this topic</w:t>
      </w:r>
      <w:r w:rsidR="00F5353B">
        <w:rPr>
          <w:rFonts w:eastAsia="Times New Roman" w:cs="Times New Roman"/>
          <w:bCs/>
          <w:sz w:val="28"/>
          <w:szCs w:val="28"/>
        </w:rPr>
        <w:t xml:space="preserve"> but that is really a bit of a misnomer</w:t>
      </w:r>
    </w:p>
    <w:p w14:paraId="711C4E9F" w14:textId="3B733DF6" w:rsidR="00F5353B" w:rsidRDefault="00F5353B" w:rsidP="00F5353B">
      <w:pPr>
        <w:spacing w:after="200" w:line="480" w:lineRule="auto"/>
        <w:rPr>
          <w:rFonts w:eastAsia="Times New Roman" w:cs="Times New Roman"/>
          <w:bCs/>
          <w:sz w:val="28"/>
          <w:szCs w:val="28"/>
        </w:rPr>
      </w:pPr>
      <w:r>
        <w:rPr>
          <w:rFonts w:eastAsia="Times New Roman" w:cs="Times New Roman"/>
          <w:bCs/>
          <w:sz w:val="28"/>
          <w:szCs w:val="28"/>
        </w:rPr>
        <w:t>The standard applicable to the admission of expert testimony really stems from several different cases:</w:t>
      </w:r>
    </w:p>
    <w:p w14:paraId="4F1CD527" w14:textId="5333D3C3" w:rsidR="00F5353B" w:rsidRPr="00001404" w:rsidRDefault="00F5353B" w:rsidP="00F5353B">
      <w:pPr>
        <w:pStyle w:val="ListParagraph"/>
        <w:numPr>
          <w:ilvl w:val="0"/>
          <w:numId w:val="6"/>
        </w:numPr>
        <w:spacing w:after="200" w:line="480" w:lineRule="auto"/>
        <w:rPr>
          <w:rFonts w:eastAsia="Times New Roman" w:cs="Times New Roman"/>
          <w:bCs/>
          <w:i/>
          <w:iCs/>
          <w:sz w:val="28"/>
          <w:szCs w:val="28"/>
        </w:rPr>
      </w:pPr>
      <w:r w:rsidRPr="00F5353B">
        <w:rPr>
          <w:rFonts w:eastAsia="Times New Roman" w:cs="Times New Roman"/>
          <w:bCs/>
          <w:i/>
          <w:iCs/>
          <w:sz w:val="28"/>
          <w:szCs w:val="28"/>
        </w:rPr>
        <w:lastRenderedPageBreak/>
        <w:t>Daubert v. Merrell Dow Pharmaceuticals, Inc.</w:t>
      </w:r>
      <w:r w:rsidR="00001404">
        <w:rPr>
          <w:rFonts w:eastAsia="Times New Roman" w:cs="Times New Roman"/>
          <w:bCs/>
          <w:sz w:val="28"/>
          <w:szCs w:val="28"/>
        </w:rPr>
        <w:t>;</w:t>
      </w:r>
      <w:r w:rsidRPr="00001404">
        <w:rPr>
          <w:rStyle w:val="EndnoteReference"/>
          <w:rFonts w:eastAsia="Times New Roman" w:cs="Times New Roman"/>
          <w:bCs/>
          <w:szCs w:val="28"/>
        </w:rPr>
        <w:endnoteReference w:id="6"/>
      </w:r>
    </w:p>
    <w:p w14:paraId="74CD4671" w14:textId="3976783F" w:rsidR="00001404" w:rsidRPr="00001404" w:rsidRDefault="00001404" w:rsidP="00F5353B">
      <w:pPr>
        <w:pStyle w:val="ListParagraph"/>
        <w:numPr>
          <w:ilvl w:val="0"/>
          <w:numId w:val="6"/>
        </w:numPr>
        <w:spacing w:after="200" w:line="480" w:lineRule="auto"/>
        <w:rPr>
          <w:rFonts w:eastAsia="Times New Roman" w:cs="Times New Roman"/>
          <w:bCs/>
          <w:i/>
          <w:iCs/>
          <w:sz w:val="28"/>
          <w:szCs w:val="28"/>
        </w:rPr>
      </w:pPr>
      <w:r>
        <w:rPr>
          <w:rFonts w:eastAsia="Times New Roman" w:cs="Times New Roman"/>
          <w:bCs/>
          <w:i/>
          <w:iCs/>
          <w:sz w:val="28"/>
          <w:szCs w:val="28"/>
        </w:rPr>
        <w:t>General Electric v. Joiner</w:t>
      </w:r>
      <w:r>
        <w:rPr>
          <w:rFonts w:eastAsia="Times New Roman" w:cs="Times New Roman"/>
          <w:bCs/>
          <w:sz w:val="28"/>
          <w:szCs w:val="28"/>
        </w:rPr>
        <w:t>;</w:t>
      </w:r>
      <w:r>
        <w:rPr>
          <w:rStyle w:val="EndnoteReference"/>
          <w:rFonts w:eastAsia="Times New Roman" w:cs="Times New Roman"/>
          <w:bCs/>
          <w:szCs w:val="28"/>
        </w:rPr>
        <w:endnoteReference w:id="7"/>
      </w:r>
      <w:r>
        <w:rPr>
          <w:rFonts w:eastAsia="Times New Roman" w:cs="Times New Roman"/>
          <w:bCs/>
          <w:sz w:val="28"/>
          <w:szCs w:val="28"/>
        </w:rPr>
        <w:t xml:space="preserve"> and</w:t>
      </w:r>
    </w:p>
    <w:p w14:paraId="0E1773B1" w14:textId="379A8F82" w:rsidR="00001404" w:rsidRPr="004D2154" w:rsidRDefault="00001404" w:rsidP="00F5353B">
      <w:pPr>
        <w:pStyle w:val="ListParagraph"/>
        <w:numPr>
          <w:ilvl w:val="0"/>
          <w:numId w:val="6"/>
        </w:numPr>
        <w:spacing w:after="200" w:line="480" w:lineRule="auto"/>
        <w:rPr>
          <w:rFonts w:eastAsia="Times New Roman" w:cs="Times New Roman"/>
          <w:bCs/>
          <w:i/>
          <w:iCs/>
          <w:sz w:val="28"/>
          <w:szCs w:val="28"/>
        </w:rPr>
      </w:pPr>
      <w:r>
        <w:rPr>
          <w:rFonts w:eastAsia="Times New Roman" w:cs="Times New Roman"/>
          <w:bCs/>
          <w:i/>
          <w:iCs/>
          <w:sz w:val="28"/>
          <w:szCs w:val="28"/>
        </w:rPr>
        <w:t>Kumho Tire Co. Ltd. V. Carmichael</w:t>
      </w:r>
      <w:r>
        <w:rPr>
          <w:rFonts w:eastAsia="Times New Roman" w:cs="Times New Roman"/>
          <w:bCs/>
          <w:sz w:val="28"/>
          <w:szCs w:val="28"/>
        </w:rPr>
        <w:t>.</w:t>
      </w:r>
      <w:r w:rsidR="004D2154">
        <w:rPr>
          <w:rStyle w:val="EndnoteReference"/>
          <w:rFonts w:eastAsia="Times New Roman" w:cs="Times New Roman"/>
          <w:bCs/>
          <w:szCs w:val="28"/>
        </w:rPr>
        <w:endnoteReference w:id="8"/>
      </w:r>
    </w:p>
    <w:p w14:paraId="3F80522E" w14:textId="747B63DC" w:rsidR="004D2154" w:rsidRDefault="004D2154" w:rsidP="004D2154">
      <w:pPr>
        <w:spacing w:after="200" w:line="480" w:lineRule="auto"/>
        <w:rPr>
          <w:rFonts w:eastAsia="Times New Roman" w:cs="Times New Roman"/>
          <w:bCs/>
          <w:sz w:val="28"/>
          <w:szCs w:val="28"/>
        </w:rPr>
      </w:pPr>
      <w:r>
        <w:rPr>
          <w:rFonts w:eastAsia="Times New Roman" w:cs="Times New Roman"/>
          <w:bCs/>
          <w:sz w:val="28"/>
          <w:szCs w:val="28"/>
        </w:rPr>
        <w:t xml:space="preserve">These cases are actually cited in the body of Rule 702 and they collectively form what we lovingly refer to as the </w:t>
      </w:r>
      <w:r>
        <w:rPr>
          <w:rFonts w:eastAsia="Times New Roman" w:cs="Times New Roman"/>
          <w:bCs/>
          <w:i/>
          <w:iCs/>
          <w:sz w:val="28"/>
          <w:szCs w:val="28"/>
        </w:rPr>
        <w:t>Daubert</w:t>
      </w:r>
      <w:r>
        <w:rPr>
          <w:rFonts w:eastAsia="Times New Roman" w:cs="Times New Roman"/>
          <w:bCs/>
          <w:sz w:val="28"/>
          <w:szCs w:val="28"/>
        </w:rPr>
        <w:t xml:space="preserve"> standard.</w:t>
      </w:r>
    </w:p>
    <w:p w14:paraId="3CB2F319" w14:textId="1B8D8F8B" w:rsidR="004D2154" w:rsidRDefault="004D2154" w:rsidP="004D2154">
      <w:pPr>
        <w:spacing w:after="200" w:line="480" w:lineRule="auto"/>
        <w:rPr>
          <w:rFonts w:eastAsia="Times New Roman" w:cs="Times New Roman"/>
          <w:b/>
          <w:sz w:val="28"/>
          <w:szCs w:val="28"/>
        </w:rPr>
      </w:pPr>
      <w:r>
        <w:rPr>
          <w:rFonts w:eastAsia="Times New Roman" w:cs="Times New Roman"/>
          <w:b/>
          <w:sz w:val="28"/>
          <w:szCs w:val="28"/>
        </w:rPr>
        <w:pict w14:anchorId="16A981FA">
          <v:rect id="_x0000_i1059" style="width:0;height:1.5pt" o:hralign="center" o:bullet="t" o:hrstd="t" o:hr="t" fillcolor="#a0a0a0" stroked="f"/>
        </w:pict>
      </w:r>
    </w:p>
    <w:p w14:paraId="20C89473" w14:textId="6E0CC07B" w:rsidR="004D2154" w:rsidRPr="002C5202" w:rsidRDefault="004D2154" w:rsidP="004D2154">
      <w:pPr>
        <w:spacing w:after="200" w:line="480" w:lineRule="auto"/>
        <w:rPr>
          <w:rFonts w:eastAsia="Times New Roman" w:cs="Times New Roman"/>
          <w:bCs/>
          <w:sz w:val="28"/>
          <w:szCs w:val="28"/>
        </w:rPr>
      </w:pPr>
      <w:r>
        <w:rPr>
          <w:rFonts w:eastAsia="Times New Roman" w:cs="Times New Roman"/>
          <w:bCs/>
          <w:sz w:val="28"/>
          <w:szCs w:val="28"/>
        </w:rPr>
        <w:t xml:space="preserve">So we have avoided getting into the nuts and bolts of </w:t>
      </w:r>
      <w:r>
        <w:rPr>
          <w:rFonts w:eastAsia="Times New Roman" w:cs="Times New Roman"/>
          <w:bCs/>
          <w:i/>
          <w:iCs/>
          <w:sz w:val="28"/>
          <w:szCs w:val="28"/>
        </w:rPr>
        <w:t>Daubert</w:t>
      </w:r>
      <w:r>
        <w:rPr>
          <w:rFonts w:eastAsia="Times New Roman" w:cs="Times New Roman"/>
          <w:bCs/>
          <w:sz w:val="28"/>
          <w:szCs w:val="28"/>
        </w:rPr>
        <w:t xml:space="preserve"> long enough.  You ask, </w:t>
      </w:r>
      <w:r w:rsidR="002C5202">
        <w:rPr>
          <w:rFonts w:eastAsia="Times New Roman" w:cs="Times New Roman"/>
          <w:bCs/>
          <w:sz w:val="28"/>
          <w:szCs w:val="28"/>
        </w:rPr>
        <w:t xml:space="preserve">“So what is </w:t>
      </w:r>
      <w:r w:rsidR="002C5202">
        <w:rPr>
          <w:rFonts w:eastAsia="Times New Roman" w:cs="Times New Roman"/>
          <w:bCs/>
          <w:i/>
          <w:iCs/>
          <w:sz w:val="28"/>
          <w:szCs w:val="28"/>
        </w:rPr>
        <w:t>Daubert</w:t>
      </w:r>
      <w:r w:rsidR="002C5202">
        <w:rPr>
          <w:rFonts w:eastAsia="Times New Roman" w:cs="Times New Roman"/>
          <w:bCs/>
          <w:sz w:val="28"/>
          <w:szCs w:val="28"/>
        </w:rPr>
        <w:t>?”  We are glad you asked.</w:t>
      </w:r>
    </w:p>
    <w:p w14:paraId="4B9AA836" w14:textId="7A412EF5" w:rsidR="00934E0A" w:rsidRDefault="00A66E9C" w:rsidP="00934E0A">
      <w:pPr>
        <w:spacing w:after="200" w:line="480" w:lineRule="auto"/>
        <w:rPr>
          <w:rFonts w:eastAsia="Times New Roman" w:cs="Times New Roman"/>
          <w:bCs/>
          <w:sz w:val="28"/>
          <w:szCs w:val="28"/>
        </w:rPr>
      </w:pPr>
      <w:r>
        <w:rPr>
          <w:rFonts w:eastAsia="Times New Roman" w:cs="Times New Roman"/>
          <w:bCs/>
          <w:i/>
          <w:iCs/>
          <w:sz w:val="28"/>
          <w:szCs w:val="28"/>
        </w:rPr>
        <w:t>Daubert</w:t>
      </w:r>
      <w:r>
        <w:rPr>
          <w:rFonts w:eastAsia="Times New Roman" w:cs="Times New Roman"/>
          <w:bCs/>
          <w:sz w:val="28"/>
          <w:szCs w:val="28"/>
        </w:rPr>
        <w:t xml:space="preserve"> demands that the trial judge act as a gatekeeper to decide what expert testimony is admissible and what is not admissible.  That term “gatekeeper” comes up a great deal in cases where </w:t>
      </w:r>
      <w:r>
        <w:rPr>
          <w:rFonts w:eastAsia="Times New Roman" w:cs="Times New Roman"/>
          <w:bCs/>
          <w:i/>
          <w:iCs/>
          <w:sz w:val="28"/>
          <w:szCs w:val="28"/>
        </w:rPr>
        <w:t>Daubert</w:t>
      </w:r>
      <w:r>
        <w:rPr>
          <w:rFonts w:eastAsia="Times New Roman" w:cs="Times New Roman"/>
          <w:bCs/>
          <w:sz w:val="28"/>
          <w:szCs w:val="28"/>
        </w:rPr>
        <w:t xml:space="preserve"> is addressed.</w:t>
      </w:r>
    </w:p>
    <w:p w14:paraId="31B36C02" w14:textId="015E1DF6" w:rsidR="002C5202" w:rsidRDefault="002C5202" w:rsidP="002C5202">
      <w:pPr>
        <w:spacing w:after="200" w:line="480" w:lineRule="auto"/>
        <w:ind w:left="720"/>
        <w:rPr>
          <w:rFonts w:eastAsia="Times New Roman" w:cs="Times New Roman"/>
          <w:bCs/>
          <w:sz w:val="28"/>
          <w:szCs w:val="28"/>
        </w:rPr>
      </w:pPr>
      <w:r>
        <w:rPr>
          <w:rFonts w:eastAsia="Times New Roman" w:cs="Times New Roman"/>
          <w:bCs/>
          <w:sz w:val="28"/>
          <w:szCs w:val="28"/>
        </w:rPr>
        <w:t>In that role as gatekeeper, the trial judge is expected to protect the finder of fact from “junk science” or otherwise irrelevant or unreliable expert testimony.</w:t>
      </w:r>
    </w:p>
    <w:p w14:paraId="12B01128" w14:textId="0E65779E" w:rsidR="002C5202" w:rsidRDefault="002C5202" w:rsidP="002C5202">
      <w:pPr>
        <w:spacing w:after="200" w:line="480" w:lineRule="auto"/>
        <w:rPr>
          <w:rFonts w:eastAsia="Times New Roman" w:cs="Times New Roman"/>
          <w:bCs/>
          <w:sz w:val="28"/>
          <w:szCs w:val="28"/>
        </w:rPr>
      </w:pPr>
      <w:r>
        <w:rPr>
          <w:rFonts w:eastAsia="Times New Roman" w:cs="Times New Roman"/>
          <w:bCs/>
          <w:sz w:val="28"/>
          <w:szCs w:val="28"/>
        </w:rPr>
        <w:t>The trial judge is the initial arbiter of whether the expert’s testimony should even reach the trier of fact.</w:t>
      </w:r>
    </w:p>
    <w:p w14:paraId="65AAAFBA" w14:textId="0DD3A16F" w:rsidR="007E402B" w:rsidRDefault="007E402B" w:rsidP="002C5202">
      <w:pPr>
        <w:spacing w:after="200" w:line="480" w:lineRule="auto"/>
        <w:rPr>
          <w:rFonts w:eastAsia="Times New Roman" w:cs="Times New Roman"/>
          <w:bCs/>
          <w:sz w:val="28"/>
          <w:szCs w:val="28"/>
        </w:rPr>
      </w:pPr>
      <w:r>
        <w:rPr>
          <w:rFonts w:eastAsia="Times New Roman" w:cs="Times New Roman"/>
          <w:b/>
          <w:sz w:val="28"/>
          <w:szCs w:val="28"/>
        </w:rPr>
        <w:pict w14:anchorId="7FE84CB4">
          <v:rect id="_x0000_i1062" style="width:0;height:1.5pt" o:hralign="center" o:bullet="t" o:hrstd="t" o:hr="t" fillcolor="#a0a0a0" stroked="f"/>
        </w:pict>
      </w:r>
    </w:p>
    <w:p w14:paraId="521973F5" w14:textId="7AD2F536" w:rsidR="002C5202" w:rsidRDefault="008E50B7" w:rsidP="002C5202">
      <w:pPr>
        <w:spacing w:after="200" w:line="480" w:lineRule="auto"/>
        <w:rPr>
          <w:rFonts w:eastAsia="Times New Roman" w:cs="Times New Roman"/>
          <w:bCs/>
          <w:sz w:val="28"/>
          <w:szCs w:val="28"/>
        </w:rPr>
      </w:pPr>
      <w:r>
        <w:rPr>
          <w:rFonts w:eastAsia="Times New Roman" w:cs="Times New Roman"/>
          <w:bCs/>
          <w:sz w:val="28"/>
          <w:szCs w:val="28"/>
        </w:rPr>
        <w:lastRenderedPageBreak/>
        <w:t>To make that gatekeeper determination, the trial judge should ask 4 questions (borrowed from Judge Studdard)</w:t>
      </w:r>
    </w:p>
    <w:p w14:paraId="0A1608F0" w14:textId="699C5B3C" w:rsidR="008E50B7" w:rsidRDefault="00C136E3" w:rsidP="008E50B7">
      <w:pPr>
        <w:pStyle w:val="ListParagraph"/>
        <w:numPr>
          <w:ilvl w:val="0"/>
          <w:numId w:val="7"/>
        </w:numPr>
        <w:spacing w:after="200" w:line="480" w:lineRule="auto"/>
        <w:rPr>
          <w:rFonts w:eastAsia="Times New Roman" w:cs="Times New Roman"/>
          <w:bCs/>
          <w:sz w:val="28"/>
          <w:szCs w:val="28"/>
        </w:rPr>
      </w:pPr>
      <w:r>
        <w:rPr>
          <w:rFonts w:eastAsia="Times New Roman" w:cs="Times New Roman"/>
          <w:bCs/>
          <w:sz w:val="28"/>
          <w:szCs w:val="28"/>
        </w:rPr>
        <w:t>Is the evidence relevant?</w:t>
      </w:r>
    </w:p>
    <w:p w14:paraId="2E64FC37" w14:textId="77B83FC8" w:rsidR="00C136E3" w:rsidRDefault="00C136E3" w:rsidP="008E50B7">
      <w:pPr>
        <w:pStyle w:val="ListParagraph"/>
        <w:numPr>
          <w:ilvl w:val="0"/>
          <w:numId w:val="7"/>
        </w:numPr>
        <w:spacing w:after="200" w:line="480" w:lineRule="auto"/>
        <w:rPr>
          <w:rFonts w:eastAsia="Times New Roman" w:cs="Times New Roman"/>
          <w:bCs/>
          <w:sz w:val="28"/>
          <w:szCs w:val="28"/>
        </w:rPr>
      </w:pPr>
      <w:r>
        <w:rPr>
          <w:rFonts w:eastAsia="Times New Roman" w:cs="Times New Roman"/>
          <w:bCs/>
          <w:sz w:val="28"/>
          <w:szCs w:val="28"/>
        </w:rPr>
        <w:t>Is the methodology reliable?</w:t>
      </w:r>
    </w:p>
    <w:p w14:paraId="7273C095" w14:textId="2860492D" w:rsidR="00C136E3" w:rsidRDefault="00C136E3" w:rsidP="008E50B7">
      <w:pPr>
        <w:pStyle w:val="ListParagraph"/>
        <w:numPr>
          <w:ilvl w:val="0"/>
          <w:numId w:val="7"/>
        </w:numPr>
        <w:spacing w:after="200" w:line="480" w:lineRule="auto"/>
        <w:rPr>
          <w:rFonts w:eastAsia="Times New Roman" w:cs="Times New Roman"/>
          <w:bCs/>
          <w:sz w:val="28"/>
          <w:szCs w:val="28"/>
        </w:rPr>
      </w:pPr>
      <w:r>
        <w:rPr>
          <w:rFonts w:eastAsia="Times New Roman" w:cs="Times New Roman"/>
          <w:bCs/>
          <w:sz w:val="28"/>
          <w:szCs w:val="28"/>
        </w:rPr>
        <w:t>Are the conclusions based on sufficient scientific facts/data?</w:t>
      </w:r>
    </w:p>
    <w:p w14:paraId="10E4007E" w14:textId="553D5019" w:rsidR="00C136E3" w:rsidRDefault="00C136E3" w:rsidP="008E50B7">
      <w:pPr>
        <w:pStyle w:val="ListParagraph"/>
        <w:numPr>
          <w:ilvl w:val="0"/>
          <w:numId w:val="7"/>
        </w:numPr>
        <w:spacing w:after="200" w:line="480" w:lineRule="auto"/>
        <w:rPr>
          <w:rFonts w:eastAsia="Times New Roman" w:cs="Times New Roman"/>
          <w:bCs/>
          <w:sz w:val="28"/>
          <w:szCs w:val="28"/>
        </w:rPr>
      </w:pPr>
      <w:r>
        <w:rPr>
          <w:rFonts w:eastAsia="Times New Roman" w:cs="Times New Roman"/>
          <w:bCs/>
          <w:sz w:val="28"/>
          <w:szCs w:val="28"/>
        </w:rPr>
        <w:t>Is the witness qualified?</w:t>
      </w:r>
      <w:r>
        <w:rPr>
          <w:rStyle w:val="EndnoteReference"/>
          <w:rFonts w:eastAsia="Times New Roman" w:cs="Times New Roman"/>
          <w:bCs/>
          <w:szCs w:val="28"/>
        </w:rPr>
        <w:endnoteReference w:id="9"/>
      </w:r>
    </w:p>
    <w:p w14:paraId="2C36AA92" w14:textId="23D2BCDF" w:rsidR="001B5AEF" w:rsidRDefault="001B5AEF" w:rsidP="001B5AEF">
      <w:pPr>
        <w:spacing w:after="200" w:line="480" w:lineRule="auto"/>
        <w:rPr>
          <w:rFonts w:eastAsia="Times New Roman" w:cs="Times New Roman"/>
          <w:bCs/>
          <w:sz w:val="28"/>
          <w:szCs w:val="28"/>
        </w:rPr>
      </w:pPr>
      <w:r>
        <w:rPr>
          <w:rFonts w:eastAsia="Times New Roman" w:cs="Times New Roman"/>
          <w:bCs/>
          <w:sz w:val="28"/>
          <w:szCs w:val="28"/>
        </w:rPr>
        <w:t xml:space="preserve">Rule 702 does not change the fact that an expert can be qualified to render an expert opinion </w:t>
      </w:r>
      <w:r w:rsidRPr="001B5AEF">
        <w:rPr>
          <w:rFonts w:eastAsia="Times New Roman" w:cs="Times New Roman"/>
          <w:bCs/>
          <w:sz w:val="28"/>
          <w:szCs w:val="28"/>
        </w:rPr>
        <w:t>based upon his/her “knowledge, skill, experience, training, or education.”</w:t>
      </w:r>
      <w:r w:rsidRPr="001B5AEF">
        <w:rPr>
          <w:rFonts w:eastAsia="Times New Roman" w:cs="Times New Roman"/>
          <w:b/>
          <w:bCs/>
          <w:sz w:val="28"/>
          <w:szCs w:val="28"/>
          <w:vertAlign w:val="superscript"/>
        </w:rPr>
        <w:endnoteReference w:id="10"/>
      </w:r>
    </w:p>
    <w:p w14:paraId="66A48BAE" w14:textId="51DC3A37" w:rsidR="001B5AEF" w:rsidRPr="001B5AEF" w:rsidRDefault="001B5AEF" w:rsidP="001B5AEF">
      <w:pPr>
        <w:spacing w:after="200" w:line="480" w:lineRule="auto"/>
        <w:rPr>
          <w:rFonts w:eastAsia="Times New Roman" w:cs="Times New Roman"/>
          <w:b/>
          <w:sz w:val="28"/>
          <w:szCs w:val="28"/>
        </w:rPr>
      </w:pPr>
      <w:r>
        <w:rPr>
          <w:rFonts w:eastAsia="Times New Roman" w:cs="Times New Roman"/>
          <w:b/>
          <w:sz w:val="28"/>
          <w:szCs w:val="28"/>
        </w:rPr>
        <w:pict w14:anchorId="20AAC1DF">
          <v:rect id="_x0000_i1065" style="width:0;height:1.5pt" o:hralign="center" o:bullet="t" o:hrstd="t" o:hr="t" fillcolor="#a0a0a0" stroked="f"/>
        </w:pict>
      </w:r>
    </w:p>
    <w:p w14:paraId="06DC134D" w14:textId="7A9F02C3" w:rsidR="00C136E3" w:rsidRDefault="00C136E3" w:rsidP="00C136E3">
      <w:pPr>
        <w:spacing w:after="200" w:line="480" w:lineRule="auto"/>
        <w:rPr>
          <w:rFonts w:eastAsia="Times New Roman" w:cs="Times New Roman"/>
          <w:bCs/>
          <w:sz w:val="28"/>
          <w:szCs w:val="28"/>
        </w:rPr>
      </w:pPr>
      <w:r>
        <w:rPr>
          <w:rFonts w:eastAsia="Times New Roman" w:cs="Times New Roman"/>
          <w:bCs/>
          <w:sz w:val="28"/>
          <w:szCs w:val="28"/>
        </w:rPr>
        <w:t xml:space="preserve">Frankly, the cases on </w:t>
      </w:r>
      <w:r>
        <w:rPr>
          <w:rFonts w:eastAsia="Times New Roman" w:cs="Times New Roman"/>
          <w:bCs/>
          <w:i/>
          <w:iCs/>
          <w:sz w:val="28"/>
          <w:szCs w:val="28"/>
        </w:rPr>
        <w:t>Daubert</w:t>
      </w:r>
      <w:r>
        <w:rPr>
          <w:rFonts w:eastAsia="Times New Roman" w:cs="Times New Roman"/>
          <w:bCs/>
          <w:sz w:val="28"/>
          <w:szCs w:val="28"/>
        </w:rPr>
        <w:t xml:space="preserve"> sometimes frame the issues a little differently but there is usually a 3 or 4 element list of issues associated with a </w:t>
      </w:r>
      <w:r>
        <w:rPr>
          <w:rFonts w:eastAsia="Times New Roman" w:cs="Times New Roman"/>
          <w:bCs/>
          <w:i/>
          <w:iCs/>
          <w:sz w:val="28"/>
          <w:szCs w:val="28"/>
        </w:rPr>
        <w:t>Daubert</w:t>
      </w:r>
      <w:r>
        <w:rPr>
          <w:rFonts w:eastAsia="Times New Roman" w:cs="Times New Roman"/>
          <w:bCs/>
          <w:sz w:val="28"/>
          <w:szCs w:val="28"/>
        </w:rPr>
        <w:t xml:space="preserve"> analysis.</w:t>
      </w:r>
    </w:p>
    <w:p w14:paraId="4139E721" w14:textId="362A4182" w:rsidR="00DC771F" w:rsidRDefault="00DC771F" w:rsidP="00C136E3">
      <w:pPr>
        <w:spacing w:after="200" w:line="480" w:lineRule="auto"/>
        <w:rPr>
          <w:rFonts w:eastAsia="Times New Roman" w:cs="Times New Roman"/>
          <w:bCs/>
          <w:sz w:val="28"/>
          <w:szCs w:val="28"/>
        </w:rPr>
      </w:pPr>
      <w:r>
        <w:rPr>
          <w:rFonts w:eastAsia="Times New Roman" w:cs="Times New Roman"/>
          <w:bCs/>
          <w:sz w:val="28"/>
          <w:szCs w:val="28"/>
        </w:rPr>
        <w:t>Cases from the 11</w:t>
      </w:r>
      <w:r w:rsidRPr="00DC771F">
        <w:rPr>
          <w:rFonts w:eastAsia="Times New Roman" w:cs="Times New Roman"/>
          <w:bCs/>
          <w:sz w:val="28"/>
          <w:szCs w:val="28"/>
          <w:vertAlign w:val="superscript"/>
        </w:rPr>
        <w:t>th</w:t>
      </w:r>
      <w:r>
        <w:rPr>
          <w:rFonts w:eastAsia="Times New Roman" w:cs="Times New Roman"/>
          <w:bCs/>
          <w:sz w:val="28"/>
          <w:szCs w:val="28"/>
        </w:rPr>
        <w:t xml:space="preserve"> circuit describe the applicable test a little differently</w:t>
      </w:r>
      <w:r w:rsidR="004E3189">
        <w:rPr>
          <w:rFonts w:eastAsia="Times New Roman" w:cs="Times New Roman"/>
          <w:bCs/>
          <w:sz w:val="28"/>
          <w:szCs w:val="28"/>
        </w:rPr>
        <w:t xml:space="preserve"> from Judge Studdard (but they reach the same result)</w:t>
      </w:r>
      <w:r>
        <w:rPr>
          <w:rFonts w:eastAsia="Times New Roman" w:cs="Times New Roman"/>
          <w:bCs/>
          <w:sz w:val="28"/>
          <w:szCs w:val="28"/>
        </w:rPr>
        <w:t>:</w:t>
      </w:r>
    </w:p>
    <w:p w14:paraId="215F9971" w14:textId="77DAED51" w:rsidR="00F80319" w:rsidRPr="00F80319" w:rsidRDefault="00F80319" w:rsidP="00F80319">
      <w:pPr>
        <w:pStyle w:val="ListParagraph"/>
        <w:numPr>
          <w:ilvl w:val="0"/>
          <w:numId w:val="9"/>
        </w:numPr>
        <w:spacing w:after="200" w:line="480" w:lineRule="auto"/>
        <w:rPr>
          <w:rFonts w:eastAsia="Times New Roman" w:cs="Times New Roman"/>
          <w:bCs/>
          <w:sz w:val="28"/>
          <w:szCs w:val="28"/>
        </w:rPr>
      </w:pPr>
      <w:r w:rsidRPr="00F80319">
        <w:rPr>
          <w:rFonts w:eastAsia="Times New Roman" w:cs="Times New Roman"/>
          <w:bCs/>
          <w:sz w:val="28"/>
          <w:szCs w:val="28"/>
        </w:rPr>
        <w:t xml:space="preserve">the expert is </w:t>
      </w:r>
      <w:r w:rsidRPr="004E3189">
        <w:rPr>
          <w:rFonts w:eastAsia="Times New Roman" w:cs="Times New Roman"/>
          <w:bCs/>
          <w:sz w:val="28"/>
          <w:szCs w:val="28"/>
          <w:u w:val="single"/>
        </w:rPr>
        <w:t>qualified</w:t>
      </w:r>
      <w:r w:rsidRPr="00F80319">
        <w:rPr>
          <w:rFonts w:eastAsia="Times New Roman" w:cs="Times New Roman"/>
          <w:bCs/>
          <w:sz w:val="28"/>
          <w:szCs w:val="28"/>
        </w:rPr>
        <w:t xml:space="preserve"> to testify competently regarding the matters he intends to address;</w:t>
      </w:r>
    </w:p>
    <w:p w14:paraId="6B8E46CF" w14:textId="77777777" w:rsidR="00F80319" w:rsidRPr="00F80319" w:rsidRDefault="00F80319" w:rsidP="00F80319">
      <w:pPr>
        <w:numPr>
          <w:ilvl w:val="0"/>
          <w:numId w:val="9"/>
        </w:numPr>
        <w:spacing w:after="200" w:line="480" w:lineRule="auto"/>
        <w:rPr>
          <w:rFonts w:eastAsia="Times New Roman" w:cs="Times New Roman"/>
          <w:bCs/>
          <w:sz w:val="28"/>
          <w:szCs w:val="28"/>
        </w:rPr>
      </w:pPr>
      <w:r w:rsidRPr="00F80319">
        <w:rPr>
          <w:rFonts w:eastAsia="Times New Roman" w:cs="Times New Roman"/>
          <w:bCs/>
          <w:sz w:val="28"/>
          <w:szCs w:val="28"/>
        </w:rPr>
        <w:lastRenderedPageBreak/>
        <w:t xml:space="preserve">the </w:t>
      </w:r>
      <w:r w:rsidRPr="00F80319">
        <w:rPr>
          <w:rFonts w:eastAsia="Times New Roman" w:cs="Times New Roman"/>
          <w:bCs/>
          <w:sz w:val="28"/>
          <w:szCs w:val="28"/>
          <w:u w:val="single"/>
        </w:rPr>
        <w:t>methodology</w:t>
      </w:r>
      <w:r w:rsidRPr="00F80319">
        <w:rPr>
          <w:rFonts w:eastAsia="Times New Roman" w:cs="Times New Roman"/>
          <w:bCs/>
          <w:sz w:val="28"/>
          <w:szCs w:val="28"/>
        </w:rPr>
        <w:t xml:space="preserve"> by which the expert reaches his conclusion is sufficiently </w:t>
      </w:r>
      <w:r w:rsidRPr="00F80319">
        <w:rPr>
          <w:rFonts w:eastAsia="Times New Roman" w:cs="Times New Roman"/>
          <w:bCs/>
          <w:sz w:val="28"/>
          <w:szCs w:val="28"/>
          <w:u w:val="single"/>
        </w:rPr>
        <w:t>reliable</w:t>
      </w:r>
      <w:r w:rsidRPr="00F80319">
        <w:rPr>
          <w:rFonts w:eastAsia="Times New Roman" w:cs="Times New Roman"/>
          <w:bCs/>
          <w:sz w:val="28"/>
          <w:szCs w:val="28"/>
        </w:rPr>
        <w:t xml:space="preserve"> as determined by the sort of inquiry mandated in </w:t>
      </w:r>
      <w:r w:rsidRPr="00F80319">
        <w:rPr>
          <w:rFonts w:eastAsia="Times New Roman" w:cs="Times New Roman"/>
          <w:bCs/>
          <w:i/>
          <w:iCs/>
          <w:sz w:val="28"/>
          <w:szCs w:val="28"/>
        </w:rPr>
        <w:t>Daubert</w:t>
      </w:r>
      <w:r w:rsidRPr="00F80319">
        <w:rPr>
          <w:rFonts w:eastAsia="Times New Roman" w:cs="Times New Roman"/>
          <w:bCs/>
          <w:sz w:val="28"/>
          <w:szCs w:val="28"/>
        </w:rPr>
        <w:t>; and</w:t>
      </w:r>
    </w:p>
    <w:p w14:paraId="4C3F6D55" w14:textId="77777777" w:rsidR="00F80319" w:rsidRPr="00F80319" w:rsidRDefault="00F80319" w:rsidP="00F80319">
      <w:pPr>
        <w:numPr>
          <w:ilvl w:val="0"/>
          <w:numId w:val="9"/>
        </w:numPr>
        <w:spacing w:after="200" w:line="480" w:lineRule="auto"/>
        <w:rPr>
          <w:rFonts w:eastAsia="Times New Roman" w:cs="Times New Roman"/>
          <w:bCs/>
          <w:sz w:val="28"/>
          <w:szCs w:val="28"/>
        </w:rPr>
      </w:pPr>
      <w:r w:rsidRPr="00F80319">
        <w:rPr>
          <w:rFonts w:eastAsia="Times New Roman" w:cs="Times New Roman"/>
          <w:bCs/>
          <w:sz w:val="28"/>
          <w:szCs w:val="28"/>
        </w:rPr>
        <w:t xml:space="preserve">the testimony </w:t>
      </w:r>
      <w:r w:rsidRPr="00F80319">
        <w:rPr>
          <w:rFonts w:eastAsia="Times New Roman" w:cs="Times New Roman"/>
          <w:bCs/>
          <w:sz w:val="28"/>
          <w:szCs w:val="28"/>
          <w:u w:val="single"/>
        </w:rPr>
        <w:t>assists the trier of fac</w:t>
      </w:r>
      <w:r w:rsidRPr="00F80319">
        <w:rPr>
          <w:rFonts w:eastAsia="Times New Roman" w:cs="Times New Roman"/>
          <w:bCs/>
          <w:sz w:val="28"/>
          <w:szCs w:val="28"/>
        </w:rPr>
        <w:t>t, through the application of scientific, technical, or specialized expertise, to understand the evidence or to determine a fact in issue.</w:t>
      </w:r>
      <w:r w:rsidRPr="00F80319">
        <w:rPr>
          <w:rFonts w:eastAsia="Times New Roman" w:cs="Times New Roman"/>
          <w:b/>
          <w:bCs/>
          <w:sz w:val="28"/>
          <w:szCs w:val="28"/>
          <w:vertAlign w:val="superscript"/>
        </w:rPr>
        <w:endnoteReference w:id="11"/>
      </w:r>
    </w:p>
    <w:p w14:paraId="16A1B2BA" w14:textId="385232B7" w:rsidR="00DC771F" w:rsidRDefault="00F80319" w:rsidP="00F80319">
      <w:pPr>
        <w:spacing w:after="200" w:line="480" w:lineRule="auto"/>
        <w:rPr>
          <w:rFonts w:eastAsia="Times New Roman" w:cs="Times New Roman"/>
          <w:bCs/>
          <w:sz w:val="28"/>
          <w:szCs w:val="28"/>
        </w:rPr>
      </w:pPr>
      <w:r w:rsidRPr="00F80319">
        <w:rPr>
          <w:rFonts w:eastAsia="Times New Roman" w:cs="Times New Roman"/>
          <w:bCs/>
          <w:sz w:val="28"/>
          <w:szCs w:val="28"/>
        </w:rPr>
        <w:t xml:space="preserve">Additionally, the cases note that there is a fourth determination that the trial court must make beyond that of determining qualification, reliability, and helpfulness.  That fourth determination lies in </w:t>
      </w:r>
      <w:r w:rsidRPr="004E3189">
        <w:rPr>
          <w:rFonts w:eastAsia="Times New Roman" w:cs="Times New Roman"/>
          <w:bCs/>
          <w:sz w:val="28"/>
          <w:szCs w:val="28"/>
          <w:u w:val="single"/>
        </w:rPr>
        <w:t>Rule 403’s balancing test</w:t>
      </w:r>
      <w:r w:rsidRPr="00F80319">
        <w:rPr>
          <w:rFonts w:eastAsia="Times New Roman" w:cs="Times New Roman"/>
          <w:bCs/>
          <w:sz w:val="28"/>
          <w:szCs w:val="28"/>
        </w:rPr>
        <w:t>, applicable to all evidence.</w:t>
      </w:r>
    </w:p>
    <w:p w14:paraId="3240D93E" w14:textId="6B6E96A8" w:rsidR="00E77BDB" w:rsidRDefault="00E77BDB" w:rsidP="00C136E3">
      <w:pPr>
        <w:spacing w:after="200" w:line="480" w:lineRule="auto"/>
        <w:rPr>
          <w:rFonts w:eastAsia="Times New Roman" w:cs="Times New Roman"/>
          <w:bCs/>
          <w:sz w:val="28"/>
          <w:szCs w:val="28"/>
        </w:rPr>
      </w:pPr>
      <w:r>
        <w:rPr>
          <w:rFonts w:eastAsia="Times New Roman" w:cs="Times New Roman"/>
          <w:b/>
          <w:sz w:val="28"/>
          <w:szCs w:val="28"/>
        </w:rPr>
        <w:pict w14:anchorId="4A604CC9">
          <v:rect id="_x0000_i1060" style="width:0;height:1.5pt" o:hralign="center" o:bullet="t" o:hrstd="t" o:hr="t" fillcolor="#a0a0a0" stroked="f"/>
        </w:pict>
      </w:r>
    </w:p>
    <w:p w14:paraId="05457A76" w14:textId="1F59039C" w:rsidR="00E77BDB" w:rsidRDefault="00E77BDB" w:rsidP="00C136E3">
      <w:pPr>
        <w:spacing w:after="200" w:line="480" w:lineRule="auto"/>
        <w:rPr>
          <w:rFonts w:eastAsia="Times New Roman" w:cs="Times New Roman"/>
          <w:bCs/>
          <w:sz w:val="28"/>
          <w:szCs w:val="28"/>
        </w:rPr>
      </w:pPr>
      <w:r>
        <w:rPr>
          <w:rFonts w:eastAsia="Times New Roman" w:cs="Times New Roman"/>
          <w:bCs/>
          <w:sz w:val="28"/>
          <w:szCs w:val="28"/>
        </w:rPr>
        <w:t>There is a non-exhaustive and non-mandatory list of “reliability” factors when making the “reliability” determination:</w:t>
      </w:r>
    </w:p>
    <w:p w14:paraId="34EC4347" w14:textId="34DA4E38" w:rsidR="00E77BDB" w:rsidRDefault="00E77BDB" w:rsidP="00E77BDB">
      <w:pPr>
        <w:pStyle w:val="ListParagraph"/>
        <w:numPr>
          <w:ilvl w:val="0"/>
          <w:numId w:val="8"/>
        </w:numPr>
        <w:spacing w:after="200" w:line="480" w:lineRule="auto"/>
        <w:rPr>
          <w:rFonts w:eastAsia="Times New Roman" w:cs="Times New Roman"/>
          <w:bCs/>
          <w:sz w:val="28"/>
          <w:szCs w:val="28"/>
        </w:rPr>
      </w:pPr>
      <w:r>
        <w:rPr>
          <w:rFonts w:eastAsia="Times New Roman" w:cs="Times New Roman"/>
          <w:bCs/>
          <w:sz w:val="28"/>
          <w:szCs w:val="28"/>
        </w:rPr>
        <w:t>Testability;</w:t>
      </w:r>
    </w:p>
    <w:p w14:paraId="35F77922" w14:textId="524C785F" w:rsidR="00E77BDB" w:rsidRDefault="00E77BDB" w:rsidP="00E77BDB">
      <w:pPr>
        <w:pStyle w:val="ListParagraph"/>
        <w:numPr>
          <w:ilvl w:val="0"/>
          <w:numId w:val="8"/>
        </w:numPr>
        <w:spacing w:after="200" w:line="480" w:lineRule="auto"/>
        <w:rPr>
          <w:rFonts w:eastAsia="Times New Roman" w:cs="Times New Roman"/>
          <w:bCs/>
          <w:sz w:val="28"/>
          <w:szCs w:val="28"/>
        </w:rPr>
      </w:pPr>
      <w:r>
        <w:rPr>
          <w:rFonts w:eastAsia="Times New Roman" w:cs="Times New Roman"/>
          <w:bCs/>
          <w:sz w:val="28"/>
          <w:szCs w:val="28"/>
        </w:rPr>
        <w:t>Rate of error;</w:t>
      </w:r>
    </w:p>
    <w:p w14:paraId="5AB2C68D" w14:textId="3A458B66" w:rsidR="00E77BDB" w:rsidRDefault="00E77BDB" w:rsidP="00E77BDB">
      <w:pPr>
        <w:pStyle w:val="ListParagraph"/>
        <w:numPr>
          <w:ilvl w:val="0"/>
          <w:numId w:val="8"/>
        </w:numPr>
        <w:spacing w:after="200" w:line="480" w:lineRule="auto"/>
        <w:rPr>
          <w:rFonts w:eastAsia="Times New Roman" w:cs="Times New Roman"/>
          <w:bCs/>
          <w:sz w:val="28"/>
          <w:szCs w:val="28"/>
        </w:rPr>
      </w:pPr>
      <w:r>
        <w:rPr>
          <w:rFonts w:eastAsia="Times New Roman" w:cs="Times New Roman"/>
          <w:bCs/>
          <w:sz w:val="28"/>
          <w:szCs w:val="28"/>
        </w:rPr>
        <w:t>Peer review and publication;</w:t>
      </w:r>
    </w:p>
    <w:p w14:paraId="19018905" w14:textId="4EBF51F2" w:rsidR="00E77BDB" w:rsidRDefault="00E77BDB" w:rsidP="00E77BDB">
      <w:pPr>
        <w:pStyle w:val="ListParagraph"/>
        <w:numPr>
          <w:ilvl w:val="0"/>
          <w:numId w:val="8"/>
        </w:numPr>
        <w:spacing w:after="200" w:line="480" w:lineRule="auto"/>
        <w:rPr>
          <w:rFonts w:eastAsia="Times New Roman" w:cs="Times New Roman"/>
          <w:bCs/>
          <w:sz w:val="28"/>
          <w:szCs w:val="28"/>
        </w:rPr>
      </w:pPr>
      <w:r>
        <w:rPr>
          <w:rFonts w:eastAsia="Times New Roman" w:cs="Times New Roman"/>
          <w:bCs/>
          <w:sz w:val="28"/>
          <w:szCs w:val="28"/>
        </w:rPr>
        <w:t>General acceptance in the scientific community; and</w:t>
      </w:r>
    </w:p>
    <w:p w14:paraId="1CB7A32F" w14:textId="417255F0" w:rsidR="00E77BDB" w:rsidRDefault="00E77BDB" w:rsidP="00E77BDB">
      <w:pPr>
        <w:pStyle w:val="ListParagraph"/>
        <w:numPr>
          <w:ilvl w:val="0"/>
          <w:numId w:val="8"/>
        </w:numPr>
        <w:spacing w:after="200" w:line="480" w:lineRule="auto"/>
        <w:rPr>
          <w:rFonts w:eastAsia="Times New Roman" w:cs="Times New Roman"/>
          <w:bCs/>
          <w:sz w:val="28"/>
          <w:szCs w:val="28"/>
        </w:rPr>
      </w:pPr>
      <w:r>
        <w:rPr>
          <w:rFonts w:eastAsia="Times New Roman" w:cs="Times New Roman"/>
          <w:bCs/>
          <w:sz w:val="28"/>
          <w:szCs w:val="28"/>
        </w:rPr>
        <w:t>Does the analysis fit the data?</w:t>
      </w:r>
    </w:p>
    <w:p w14:paraId="5A57A909" w14:textId="1BCC4780" w:rsidR="00F80319" w:rsidRPr="00F80319" w:rsidRDefault="00F80319" w:rsidP="00F80319">
      <w:pPr>
        <w:spacing w:after="200" w:line="480" w:lineRule="auto"/>
        <w:rPr>
          <w:rFonts w:eastAsia="Times New Roman" w:cs="Times New Roman"/>
          <w:bCs/>
          <w:sz w:val="28"/>
          <w:szCs w:val="28"/>
        </w:rPr>
      </w:pPr>
      <w:r>
        <w:rPr>
          <w:rFonts w:eastAsia="Times New Roman" w:cs="Times New Roman"/>
          <w:bCs/>
          <w:sz w:val="28"/>
          <w:szCs w:val="28"/>
        </w:rPr>
        <w:lastRenderedPageBreak/>
        <w:t>The reason these “reliability factors” are not mandatory is because not all expert testimony is subject to things like peer review.</w:t>
      </w:r>
    </w:p>
    <w:p w14:paraId="4963E652" w14:textId="1551B525" w:rsidR="00DC771F" w:rsidRPr="00DC771F" w:rsidRDefault="00DC771F" w:rsidP="00DC771F">
      <w:pPr>
        <w:spacing w:after="200" w:line="480" w:lineRule="auto"/>
        <w:rPr>
          <w:rFonts w:eastAsia="Times New Roman" w:cs="Times New Roman"/>
          <w:bCs/>
          <w:sz w:val="28"/>
          <w:szCs w:val="28"/>
        </w:rPr>
      </w:pPr>
      <w:r>
        <w:rPr>
          <w:rFonts w:eastAsia="Times New Roman" w:cs="Times New Roman"/>
          <w:b/>
          <w:sz w:val="28"/>
          <w:szCs w:val="28"/>
        </w:rPr>
        <w:pict w14:anchorId="5BF9B2EA">
          <v:rect id="_x0000_i1061" style="width:0;height:1.5pt" o:hralign="center" o:bullet="t" o:hrstd="t" o:hr="t" fillcolor="#a0a0a0" stroked="f"/>
        </w:pict>
      </w:r>
    </w:p>
    <w:p w14:paraId="1A51C4AA" w14:textId="4E96BD98" w:rsidR="00C962C0" w:rsidRDefault="00C962C0" w:rsidP="00E77BDB">
      <w:pPr>
        <w:spacing w:after="200" w:line="480" w:lineRule="auto"/>
        <w:rPr>
          <w:rFonts w:eastAsia="Times New Roman" w:cs="Times New Roman"/>
          <w:bCs/>
          <w:sz w:val="28"/>
          <w:szCs w:val="28"/>
        </w:rPr>
      </w:pPr>
      <w:r>
        <w:rPr>
          <w:rFonts w:eastAsia="Times New Roman" w:cs="Times New Roman"/>
          <w:bCs/>
          <w:sz w:val="28"/>
          <w:szCs w:val="28"/>
        </w:rPr>
        <w:t>Courts have the discretion needed to avoid unnecessary “reliability proceedings” where the reliability of the expert’s methods are properly taken for granted</w:t>
      </w:r>
      <w:r w:rsidR="00E761DC">
        <w:rPr>
          <w:rFonts w:eastAsia="Times New Roman" w:cs="Times New Roman"/>
          <w:bCs/>
          <w:sz w:val="28"/>
          <w:szCs w:val="28"/>
        </w:rPr>
        <w:t xml:space="preserve"> (i.e. have already been decided)</w:t>
      </w:r>
      <w:r>
        <w:rPr>
          <w:rFonts w:eastAsia="Times New Roman" w:cs="Times New Roman"/>
          <w:bCs/>
          <w:sz w:val="28"/>
          <w:szCs w:val="28"/>
        </w:rPr>
        <w:t>.</w:t>
      </w:r>
      <w:r>
        <w:rPr>
          <w:rStyle w:val="EndnoteReference"/>
          <w:rFonts w:eastAsia="Times New Roman" w:cs="Times New Roman"/>
          <w:bCs/>
          <w:szCs w:val="28"/>
        </w:rPr>
        <w:endnoteReference w:id="12"/>
      </w:r>
    </w:p>
    <w:p w14:paraId="18113E01" w14:textId="05FCC2FB" w:rsidR="000F1719" w:rsidRDefault="000F1719" w:rsidP="000F1719">
      <w:pPr>
        <w:spacing w:after="200" w:line="480" w:lineRule="auto"/>
        <w:ind w:left="720"/>
        <w:rPr>
          <w:rFonts w:eastAsia="Times New Roman" w:cs="Times New Roman"/>
          <w:bCs/>
          <w:sz w:val="28"/>
          <w:szCs w:val="28"/>
        </w:rPr>
      </w:pPr>
      <w:r>
        <w:rPr>
          <w:rFonts w:eastAsia="Times New Roman" w:cs="Times New Roman"/>
          <w:bCs/>
          <w:sz w:val="28"/>
          <w:szCs w:val="28"/>
        </w:rPr>
        <w:t>There are Georgia cases where certain scientific evidence has been determined to have “reached a scientific stage of verifiable certainty.”</w:t>
      </w:r>
      <w:r>
        <w:rPr>
          <w:rStyle w:val="EndnoteReference"/>
          <w:rFonts w:eastAsia="Times New Roman" w:cs="Times New Roman"/>
          <w:bCs/>
          <w:szCs w:val="28"/>
        </w:rPr>
        <w:endnoteReference w:id="13"/>
      </w:r>
    </w:p>
    <w:p w14:paraId="4CD0CAA9" w14:textId="6588537D" w:rsidR="00064B18" w:rsidRDefault="00E761DC" w:rsidP="00064B18">
      <w:pPr>
        <w:spacing w:after="200" w:line="480" w:lineRule="auto"/>
        <w:rPr>
          <w:rFonts w:eastAsia="Times New Roman" w:cs="Times New Roman"/>
          <w:bCs/>
          <w:sz w:val="28"/>
          <w:szCs w:val="28"/>
        </w:rPr>
      </w:pPr>
      <w:r>
        <w:rPr>
          <w:rFonts w:eastAsia="Times New Roman" w:cs="Times New Roman"/>
          <w:b/>
          <w:sz w:val="28"/>
          <w:szCs w:val="28"/>
        </w:rPr>
        <w:pict w14:anchorId="07912014">
          <v:rect id="_x0000_i1066" style="width:0;height:1.5pt" o:hralign="center" o:bullet="t" o:hrstd="t" o:hr="t" fillcolor="#a0a0a0" stroked="f"/>
        </w:pict>
      </w:r>
    </w:p>
    <w:p w14:paraId="064BC723" w14:textId="4DF268E0" w:rsidR="00E77BDB" w:rsidRDefault="00E77BDB" w:rsidP="00E77BDB">
      <w:pPr>
        <w:spacing w:after="200" w:line="480" w:lineRule="auto"/>
        <w:rPr>
          <w:rFonts w:eastAsia="Times New Roman" w:cs="Times New Roman"/>
          <w:bCs/>
          <w:sz w:val="28"/>
          <w:szCs w:val="28"/>
        </w:rPr>
      </w:pPr>
      <w:r>
        <w:rPr>
          <w:rFonts w:eastAsia="Times New Roman" w:cs="Times New Roman"/>
          <w:bCs/>
          <w:sz w:val="28"/>
          <w:szCs w:val="28"/>
        </w:rPr>
        <w:t xml:space="preserve">It is important to remember a couple of things about </w:t>
      </w:r>
      <w:r>
        <w:rPr>
          <w:rFonts w:eastAsia="Times New Roman" w:cs="Times New Roman"/>
          <w:bCs/>
          <w:i/>
          <w:iCs/>
          <w:sz w:val="28"/>
          <w:szCs w:val="28"/>
        </w:rPr>
        <w:t>Daubert</w:t>
      </w:r>
      <w:r>
        <w:rPr>
          <w:rFonts w:eastAsia="Times New Roman" w:cs="Times New Roman"/>
          <w:bCs/>
          <w:sz w:val="28"/>
          <w:szCs w:val="28"/>
        </w:rPr>
        <w:t>:</w:t>
      </w:r>
    </w:p>
    <w:p w14:paraId="1F95C644" w14:textId="77777777" w:rsidR="00E761DC" w:rsidRPr="00064B18" w:rsidRDefault="00E761DC" w:rsidP="00E761DC">
      <w:pPr>
        <w:spacing w:after="200" w:line="480" w:lineRule="auto"/>
        <w:rPr>
          <w:rFonts w:eastAsia="Times New Roman" w:cs="Times New Roman"/>
          <w:bCs/>
          <w:sz w:val="28"/>
          <w:szCs w:val="28"/>
        </w:rPr>
      </w:pPr>
      <w:r>
        <w:rPr>
          <w:rFonts w:eastAsia="Times New Roman" w:cs="Times New Roman"/>
          <w:bCs/>
          <w:sz w:val="28"/>
          <w:szCs w:val="28"/>
        </w:rPr>
        <w:t xml:space="preserve">A pretrial </w:t>
      </w:r>
      <w:r>
        <w:rPr>
          <w:rFonts w:eastAsia="Times New Roman" w:cs="Times New Roman"/>
          <w:bCs/>
          <w:i/>
          <w:iCs/>
          <w:sz w:val="28"/>
          <w:szCs w:val="28"/>
        </w:rPr>
        <w:t>Daubert</w:t>
      </w:r>
      <w:r>
        <w:rPr>
          <w:rFonts w:eastAsia="Times New Roman" w:cs="Times New Roman"/>
          <w:bCs/>
          <w:sz w:val="28"/>
          <w:szCs w:val="28"/>
        </w:rPr>
        <w:t xml:space="preserve"> hearing is only required when a challenge is raised – and the challenge does not necessarily have to be raised pretrial.</w:t>
      </w:r>
      <w:r>
        <w:rPr>
          <w:rStyle w:val="EndnoteReference"/>
          <w:rFonts w:eastAsia="Times New Roman" w:cs="Times New Roman"/>
          <w:bCs/>
          <w:szCs w:val="28"/>
        </w:rPr>
        <w:endnoteReference w:id="14"/>
      </w:r>
    </w:p>
    <w:p w14:paraId="338BC2A8" w14:textId="7344396C" w:rsidR="00E77BDB" w:rsidRPr="00E761DC" w:rsidRDefault="00E77BDB" w:rsidP="00E77BDB">
      <w:pPr>
        <w:spacing w:after="200" w:line="480" w:lineRule="auto"/>
        <w:ind w:left="720"/>
        <w:rPr>
          <w:rFonts w:eastAsia="Times New Roman" w:cs="Times New Roman"/>
          <w:bCs/>
          <w:sz w:val="28"/>
          <w:szCs w:val="28"/>
        </w:rPr>
      </w:pPr>
      <w:r>
        <w:rPr>
          <w:rFonts w:eastAsia="Times New Roman" w:cs="Times New Roman"/>
          <w:bCs/>
          <w:sz w:val="28"/>
          <w:szCs w:val="28"/>
        </w:rPr>
        <w:t>Triers of fact are always free to accept or reject the testimony of any witness, expert or otherwise;</w:t>
      </w:r>
      <w:r>
        <w:rPr>
          <w:rStyle w:val="EndnoteReference"/>
          <w:rFonts w:eastAsia="Times New Roman" w:cs="Times New Roman"/>
          <w:bCs/>
          <w:szCs w:val="28"/>
        </w:rPr>
        <w:endnoteReference w:id="15"/>
      </w:r>
      <w:r w:rsidR="00E761DC">
        <w:rPr>
          <w:rFonts w:eastAsia="Times New Roman" w:cs="Times New Roman"/>
          <w:bCs/>
          <w:sz w:val="28"/>
          <w:szCs w:val="28"/>
        </w:rPr>
        <w:t xml:space="preserve">  That is </w:t>
      </w:r>
      <w:r w:rsidR="00E761DC">
        <w:rPr>
          <w:rFonts w:eastAsia="Times New Roman" w:cs="Times New Roman"/>
          <w:bCs/>
          <w:sz w:val="28"/>
          <w:szCs w:val="28"/>
          <w:u w:val="single"/>
        </w:rPr>
        <w:t>not</w:t>
      </w:r>
      <w:r w:rsidR="00E761DC">
        <w:rPr>
          <w:rFonts w:eastAsia="Times New Roman" w:cs="Times New Roman"/>
          <w:bCs/>
          <w:sz w:val="28"/>
          <w:szCs w:val="28"/>
        </w:rPr>
        <w:t xml:space="preserve"> the determination the trial judge must make as part of the </w:t>
      </w:r>
      <w:r w:rsidR="00E761DC">
        <w:rPr>
          <w:rFonts w:eastAsia="Times New Roman" w:cs="Times New Roman"/>
          <w:bCs/>
          <w:i/>
          <w:iCs/>
          <w:sz w:val="28"/>
          <w:szCs w:val="28"/>
        </w:rPr>
        <w:t>Daubert</w:t>
      </w:r>
      <w:r w:rsidR="00E761DC">
        <w:rPr>
          <w:rFonts w:eastAsia="Times New Roman" w:cs="Times New Roman"/>
          <w:bCs/>
          <w:sz w:val="28"/>
          <w:szCs w:val="28"/>
        </w:rPr>
        <w:t xml:space="preserve"> </w:t>
      </w:r>
      <w:r w:rsidR="004E3189">
        <w:rPr>
          <w:rFonts w:eastAsia="Times New Roman" w:cs="Times New Roman"/>
          <w:bCs/>
          <w:sz w:val="28"/>
          <w:szCs w:val="28"/>
        </w:rPr>
        <w:t xml:space="preserve">gatekeeping </w:t>
      </w:r>
      <w:r w:rsidR="00E761DC">
        <w:rPr>
          <w:rFonts w:eastAsia="Times New Roman" w:cs="Times New Roman"/>
          <w:bCs/>
          <w:sz w:val="28"/>
          <w:szCs w:val="28"/>
        </w:rPr>
        <w:t>process</w:t>
      </w:r>
      <w:r w:rsidR="004E3189">
        <w:rPr>
          <w:rFonts w:eastAsia="Times New Roman" w:cs="Times New Roman"/>
          <w:bCs/>
          <w:sz w:val="28"/>
          <w:szCs w:val="28"/>
        </w:rPr>
        <w:t xml:space="preserve"> – whether to accept the testimony or place any value in it is up to the trier of fact</w:t>
      </w:r>
      <w:r w:rsidR="00E761DC">
        <w:rPr>
          <w:rFonts w:eastAsia="Times New Roman" w:cs="Times New Roman"/>
          <w:bCs/>
          <w:sz w:val="28"/>
          <w:szCs w:val="28"/>
        </w:rPr>
        <w:t>.</w:t>
      </w:r>
    </w:p>
    <w:p w14:paraId="14B1CCE8" w14:textId="645AEF20" w:rsidR="00DC771F" w:rsidRDefault="00DC771F" w:rsidP="00C962C0">
      <w:pPr>
        <w:spacing w:after="200" w:line="480" w:lineRule="auto"/>
        <w:rPr>
          <w:rFonts w:eastAsia="Times New Roman" w:cs="Times New Roman"/>
          <w:bCs/>
          <w:sz w:val="28"/>
          <w:szCs w:val="28"/>
        </w:rPr>
      </w:pPr>
      <w:r>
        <w:rPr>
          <w:rFonts w:eastAsia="Times New Roman" w:cs="Times New Roman"/>
          <w:bCs/>
          <w:sz w:val="28"/>
          <w:szCs w:val="28"/>
        </w:rPr>
        <w:lastRenderedPageBreak/>
        <w:t>Not all expert testimony is “scientific” – some is merely technical or “beyond the ken of the average juror”</w:t>
      </w:r>
      <w:r>
        <w:rPr>
          <w:rStyle w:val="EndnoteReference"/>
          <w:rFonts w:eastAsia="Times New Roman" w:cs="Times New Roman"/>
          <w:bCs/>
          <w:szCs w:val="28"/>
        </w:rPr>
        <w:endnoteReference w:id="16"/>
      </w:r>
      <w:r w:rsidR="001B5AEF">
        <w:rPr>
          <w:rFonts w:eastAsia="Times New Roman" w:cs="Times New Roman"/>
          <w:bCs/>
          <w:sz w:val="28"/>
          <w:szCs w:val="28"/>
        </w:rPr>
        <w:t xml:space="preserve"> [the applicable “test” </w:t>
      </w:r>
      <w:r w:rsidR="00BB4870">
        <w:rPr>
          <w:rFonts w:eastAsia="Times New Roman" w:cs="Times New Roman"/>
          <w:bCs/>
          <w:sz w:val="28"/>
          <w:szCs w:val="28"/>
        </w:rPr>
        <w:t xml:space="preserve">for reliability </w:t>
      </w:r>
      <w:r w:rsidR="001B5AEF">
        <w:rPr>
          <w:rFonts w:eastAsia="Times New Roman" w:cs="Times New Roman"/>
          <w:bCs/>
          <w:sz w:val="28"/>
          <w:szCs w:val="28"/>
        </w:rPr>
        <w:t xml:space="preserve">may vary </w:t>
      </w:r>
      <w:r w:rsidR="00BB4870">
        <w:rPr>
          <w:rFonts w:eastAsia="Times New Roman" w:cs="Times New Roman"/>
          <w:bCs/>
          <w:sz w:val="28"/>
          <w:szCs w:val="28"/>
        </w:rPr>
        <w:t>so there is no true</w:t>
      </w:r>
      <w:r w:rsidR="001B5AEF">
        <w:rPr>
          <w:rFonts w:eastAsia="Times New Roman" w:cs="Times New Roman"/>
          <w:bCs/>
          <w:sz w:val="28"/>
          <w:szCs w:val="28"/>
        </w:rPr>
        <w:t xml:space="preserve"> hard and fast “rule”</w:t>
      </w:r>
      <w:r w:rsidR="00BB4870">
        <w:rPr>
          <w:rFonts w:eastAsia="Times New Roman" w:cs="Times New Roman"/>
          <w:bCs/>
          <w:sz w:val="28"/>
          <w:szCs w:val="28"/>
        </w:rPr>
        <w:t xml:space="preserve"> or factors to be considered</w:t>
      </w:r>
      <w:r w:rsidR="001B5AEF">
        <w:rPr>
          <w:rFonts w:eastAsia="Times New Roman" w:cs="Times New Roman"/>
          <w:bCs/>
          <w:sz w:val="28"/>
          <w:szCs w:val="28"/>
        </w:rPr>
        <w:t>]</w:t>
      </w:r>
    </w:p>
    <w:p w14:paraId="10CEF8A4" w14:textId="02658FEE" w:rsidR="00584275" w:rsidRDefault="00F80319" w:rsidP="00E77BDB">
      <w:pPr>
        <w:spacing w:after="200" w:line="480" w:lineRule="auto"/>
        <w:ind w:left="720"/>
        <w:rPr>
          <w:rFonts w:eastAsia="Times New Roman" w:cs="Times New Roman"/>
          <w:bCs/>
          <w:sz w:val="28"/>
          <w:szCs w:val="28"/>
        </w:rPr>
      </w:pPr>
      <w:r>
        <w:rPr>
          <w:rFonts w:eastAsia="Times New Roman" w:cs="Times New Roman"/>
          <w:bCs/>
          <w:sz w:val="28"/>
          <w:szCs w:val="28"/>
        </w:rPr>
        <w:t xml:space="preserve">The trial judge is </w:t>
      </w:r>
      <w:r w:rsidR="00584275">
        <w:rPr>
          <w:rFonts w:eastAsia="Times New Roman" w:cs="Times New Roman"/>
          <w:bCs/>
          <w:sz w:val="28"/>
          <w:szCs w:val="28"/>
        </w:rPr>
        <w:t xml:space="preserve">the gatekeeper and is not expected </w:t>
      </w:r>
      <w:r>
        <w:rPr>
          <w:rFonts w:eastAsia="Times New Roman" w:cs="Times New Roman"/>
          <w:bCs/>
          <w:sz w:val="28"/>
          <w:szCs w:val="28"/>
        </w:rPr>
        <w:t xml:space="preserve">to make any comparison between competing experts </w:t>
      </w:r>
      <w:r w:rsidR="00584275">
        <w:rPr>
          <w:rFonts w:eastAsia="Times New Roman" w:cs="Times New Roman"/>
          <w:bCs/>
          <w:sz w:val="28"/>
          <w:szCs w:val="28"/>
        </w:rPr>
        <w:t>–</w:t>
      </w:r>
      <w:r>
        <w:rPr>
          <w:rFonts w:eastAsia="Times New Roman" w:cs="Times New Roman"/>
          <w:bCs/>
          <w:sz w:val="28"/>
          <w:szCs w:val="28"/>
        </w:rPr>
        <w:t xml:space="preserve"> </w:t>
      </w:r>
    </w:p>
    <w:p w14:paraId="74A24A69" w14:textId="77777777" w:rsidR="00584275" w:rsidRDefault="00584275" w:rsidP="00584275">
      <w:pPr>
        <w:spacing w:after="200" w:line="480" w:lineRule="auto"/>
        <w:ind w:left="1440"/>
        <w:rPr>
          <w:rFonts w:eastAsia="Times New Roman" w:cs="Times New Roman"/>
          <w:bCs/>
          <w:sz w:val="28"/>
          <w:szCs w:val="28"/>
        </w:rPr>
      </w:pPr>
      <w:r w:rsidRPr="00584275">
        <w:rPr>
          <w:rFonts w:eastAsia="Times New Roman" w:cs="Times New Roman"/>
          <w:bCs/>
          <w:sz w:val="28"/>
          <w:szCs w:val="28"/>
        </w:rPr>
        <w:t>Where the methodology utilized by the expert is valid but there is a difference of opinion as to what conclusions can be drawn from that otherwise valid testing procedure, such arguments are the basis for cross-examination and should not prevent the opinion from being admitted.</w:t>
      </w:r>
      <w:r w:rsidRPr="00584275">
        <w:rPr>
          <w:rFonts w:eastAsia="Times New Roman" w:cs="Times New Roman"/>
          <w:b/>
          <w:bCs/>
          <w:sz w:val="28"/>
          <w:szCs w:val="28"/>
          <w:vertAlign w:val="superscript"/>
        </w:rPr>
        <w:endnoteReference w:id="17"/>
      </w:r>
      <w:r w:rsidRPr="00584275">
        <w:rPr>
          <w:rFonts w:eastAsia="Times New Roman" w:cs="Times New Roman"/>
          <w:bCs/>
          <w:sz w:val="28"/>
          <w:szCs w:val="28"/>
        </w:rPr>
        <w:t xml:space="preserve">  </w:t>
      </w:r>
    </w:p>
    <w:p w14:paraId="5052E72B" w14:textId="77777777" w:rsidR="00584275" w:rsidRDefault="00584275" w:rsidP="00584275">
      <w:pPr>
        <w:spacing w:after="200" w:line="480" w:lineRule="auto"/>
        <w:ind w:left="720"/>
        <w:rPr>
          <w:rFonts w:eastAsia="Times New Roman" w:cs="Times New Roman"/>
          <w:bCs/>
          <w:sz w:val="28"/>
          <w:szCs w:val="28"/>
        </w:rPr>
      </w:pPr>
      <w:r w:rsidRPr="00584275">
        <w:rPr>
          <w:rFonts w:eastAsia="Times New Roman" w:cs="Times New Roman"/>
          <w:bCs/>
          <w:sz w:val="28"/>
          <w:szCs w:val="28"/>
        </w:rPr>
        <w:t>“In most cases, objections to the inadequacies of a study are more appropriately considered an objection going to the weight of the evidence rather than its admissibility.”</w:t>
      </w:r>
      <w:r w:rsidRPr="00584275">
        <w:rPr>
          <w:rFonts w:eastAsia="Times New Roman" w:cs="Times New Roman"/>
          <w:b/>
          <w:bCs/>
          <w:sz w:val="28"/>
          <w:szCs w:val="28"/>
          <w:vertAlign w:val="superscript"/>
        </w:rPr>
        <w:endnoteReference w:id="18"/>
      </w:r>
      <w:r w:rsidRPr="00584275">
        <w:rPr>
          <w:rFonts w:eastAsia="Times New Roman" w:cs="Times New Roman"/>
          <w:bCs/>
          <w:sz w:val="28"/>
          <w:szCs w:val="28"/>
        </w:rPr>
        <w:t xml:space="preserve">  </w:t>
      </w:r>
    </w:p>
    <w:p w14:paraId="776627C9" w14:textId="33F7ADB4" w:rsidR="00F80319" w:rsidRDefault="00584275" w:rsidP="00C962C0">
      <w:pPr>
        <w:spacing w:after="200" w:line="480" w:lineRule="auto"/>
        <w:rPr>
          <w:rFonts w:eastAsia="Times New Roman" w:cs="Times New Roman"/>
          <w:bCs/>
          <w:sz w:val="28"/>
          <w:szCs w:val="28"/>
        </w:rPr>
      </w:pPr>
      <w:r w:rsidRPr="00584275">
        <w:rPr>
          <w:rFonts w:eastAsia="Times New Roman" w:cs="Times New Roman"/>
          <w:bCs/>
          <w:sz w:val="28"/>
          <w:szCs w:val="28"/>
        </w:rPr>
        <w:t>It is not part of the trial judge’s gatekeeping function to weigh credibility of competing experts or attempt to evaluate the persuasiveness of competing scientific studies.</w:t>
      </w:r>
      <w:r w:rsidRPr="00584275">
        <w:rPr>
          <w:rFonts w:eastAsia="Times New Roman" w:cs="Times New Roman"/>
          <w:b/>
          <w:bCs/>
          <w:sz w:val="28"/>
          <w:szCs w:val="28"/>
          <w:vertAlign w:val="superscript"/>
        </w:rPr>
        <w:endnoteReference w:id="19"/>
      </w:r>
      <w:r w:rsidRPr="00584275">
        <w:rPr>
          <w:rFonts w:eastAsia="Times New Roman" w:cs="Times New Roman"/>
          <w:bCs/>
          <w:sz w:val="28"/>
          <w:szCs w:val="28"/>
        </w:rPr>
        <w:t xml:space="preserve">  Instead, the gatekeeping function of the trial judge is to determine whether the expert’s methods and results were discernable and “rooted in real science.”</w:t>
      </w:r>
      <w:r w:rsidRPr="00584275">
        <w:rPr>
          <w:rFonts w:eastAsia="Times New Roman" w:cs="Times New Roman"/>
          <w:b/>
          <w:bCs/>
          <w:sz w:val="28"/>
          <w:szCs w:val="28"/>
          <w:vertAlign w:val="superscript"/>
        </w:rPr>
        <w:endnoteReference w:id="20"/>
      </w:r>
      <w:r w:rsidRPr="00584275">
        <w:rPr>
          <w:rFonts w:eastAsia="Times New Roman" w:cs="Times New Roman"/>
          <w:bCs/>
          <w:sz w:val="28"/>
          <w:szCs w:val="28"/>
        </w:rPr>
        <w:t xml:space="preserve">  If that threshold is met by the expert, the testimony should be </w:t>
      </w:r>
      <w:r w:rsidRPr="00584275">
        <w:rPr>
          <w:rFonts w:eastAsia="Times New Roman" w:cs="Times New Roman"/>
          <w:bCs/>
          <w:sz w:val="28"/>
          <w:szCs w:val="28"/>
        </w:rPr>
        <w:lastRenderedPageBreak/>
        <w:t>admitted and subjected to the rigors of cross-examination and, potentially, contradictory opinion of other experts.</w:t>
      </w:r>
    </w:p>
    <w:p w14:paraId="32CFE20D" w14:textId="3CAD4D30" w:rsidR="00670B4A" w:rsidRDefault="00670B4A" w:rsidP="00670B4A">
      <w:pPr>
        <w:spacing w:after="200" w:line="480" w:lineRule="auto"/>
        <w:rPr>
          <w:rFonts w:eastAsia="Times New Roman" w:cs="Times New Roman"/>
          <w:bCs/>
          <w:sz w:val="28"/>
          <w:szCs w:val="28"/>
        </w:rPr>
      </w:pPr>
      <w:r>
        <w:rPr>
          <w:rFonts w:eastAsia="Times New Roman" w:cs="Times New Roman"/>
          <w:b/>
          <w:sz w:val="28"/>
          <w:szCs w:val="28"/>
        </w:rPr>
        <w:pict w14:anchorId="4CA3A2E7">
          <v:rect id="_x0000_i1064" style="width:0;height:1.5pt" o:hralign="center" o:bullet="t" o:hrstd="t" o:hr="t" fillcolor="#a0a0a0" stroked="f"/>
        </w:pict>
      </w:r>
    </w:p>
    <w:p w14:paraId="25C9DD93" w14:textId="6A8DCBDD" w:rsidR="00670B4A" w:rsidRDefault="00670B4A" w:rsidP="00670B4A">
      <w:pPr>
        <w:spacing w:after="200" w:line="480" w:lineRule="auto"/>
        <w:rPr>
          <w:rFonts w:eastAsia="Times New Roman" w:cs="Times New Roman"/>
          <w:bCs/>
          <w:sz w:val="28"/>
          <w:szCs w:val="28"/>
        </w:rPr>
      </w:pPr>
      <w:r>
        <w:rPr>
          <w:rFonts w:eastAsia="Times New Roman" w:cs="Times New Roman"/>
          <w:bCs/>
          <w:sz w:val="28"/>
          <w:szCs w:val="28"/>
        </w:rPr>
        <w:t xml:space="preserve">The one thing that is clear from the change to the </w:t>
      </w:r>
      <w:r>
        <w:rPr>
          <w:rFonts w:eastAsia="Times New Roman" w:cs="Times New Roman"/>
          <w:bCs/>
          <w:i/>
          <w:iCs/>
          <w:sz w:val="28"/>
          <w:szCs w:val="28"/>
        </w:rPr>
        <w:t>Daubert</w:t>
      </w:r>
      <w:r>
        <w:rPr>
          <w:rFonts w:eastAsia="Times New Roman" w:cs="Times New Roman"/>
          <w:bCs/>
          <w:sz w:val="28"/>
          <w:szCs w:val="28"/>
        </w:rPr>
        <w:t xml:space="preserve"> standard </w:t>
      </w:r>
      <w:r w:rsidR="00BB4870">
        <w:rPr>
          <w:rFonts w:eastAsia="Times New Roman" w:cs="Times New Roman"/>
          <w:bCs/>
          <w:sz w:val="28"/>
          <w:szCs w:val="28"/>
        </w:rPr>
        <w:t xml:space="preserve">in criminal cases </w:t>
      </w:r>
      <w:r>
        <w:rPr>
          <w:rFonts w:eastAsia="Times New Roman" w:cs="Times New Roman"/>
          <w:bCs/>
          <w:sz w:val="28"/>
          <w:szCs w:val="28"/>
        </w:rPr>
        <w:t>is that parties seeking to introduce expert testimony are going to be required to present much more foundation evidence than they have been accustomed t</w:t>
      </w:r>
      <w:r w:rsidR="00BB4870">
        <w:rPr>
          <w:rFonts w:eastAsia="Times New Roman" w:cs="Times New Roman"/>
          <w:bCs/>
          <w:sz w:val="28"/>
          <w:szCs w:val="28"/>
        </w:rPr>
        <w:t xml:space="preserve">o – at least </w:t>
      </w:r>
      <w:r>
        <w:rPr>
          <w:rFonts w:eastAsia="Times New Roman" w:cs="Times New Roman"/>
          <w:bCs/>
          <w:sz w:val="28"/>
          <w:szCs w:val="28"/>
        </w:rPr>
        <w:t>until we get some Georgia appellate decisions on point.</w:t>
      </w:r>
    </w:p>
    <w:p w14:paraId="5CD2C210" w14:textId="6BC483D8" w:rsidR="00BB4870" w:rsidRDefault="00BB4870" w:rsidP="00670B4A">
      <w:pPr>
        <w:spacing w:after="200" w:line="480" w:lineRule="auto"/>
        <w:rPr>
          <w:rFonts w:eastAsia="Times New Roman" w:cs="Times New Roman"/>
          <w:bCs/>
          <w:sz w:val="28"/>
          <w:szCs w:val="28"/>
        </w:rPr>
      </w:pPr>
      <w:r>
        <w:rPr>
          <w:rFonts w:eastAsia="Times New Roman" w:cs="Times New Roman"/>
          <w:b/>
          <w:sz w:val="28"/>
          <w:szCs w:val="28"/>
        </w:rPr>
        <w:pict w14:anchorId="16418CD5">
          <v:rect id="_x0000_i1067" style="width:0;height:1.5pt" o:hralign="center" o:bullet="t" o:hrstd="t" o:hr="t" fillcolor="#a0a0a0" stroked="f"/>
        </w:pict>
      </w:r>
    </w:p>
    <w:p w14:paraId="6C47C748" w14:textId="36FBC824" w:rsidR="00BB4870" w:rsidRDefault="00BB4870" w:rsidP="00670B4A">
      <w:pPr>
        <w:spacing w:after="200" w:line="480" w:lineRule="auto"/>
        <w:rPr>
          <w:rFonts w:eastAsia="Times New Roman" w:cs="Times New Roman"/>
          <w:b/>
          <w:sz w:val="28"/>
          <w:szCs w:val="28"/>
        </w:rPr>
      </w:pPr>
      <w:r>
        <w:rPr>
          <w:rFonts w:eastAsia="Times New Roman" w:cs="Times New Roman"/>
          <w:b/>
          <w:sz w:val="28"/>
          <w:szCs w:val="28"/>
        </w:rPr>
        <w:t>SUGGESTIONS FOR JUDGES:</w:t>
      </w:r>
      <w:r>
        <w:rPr>
          <w:rFonts w:eastAsia="Times New Roman" w:cs="Times New Roman"/>
          <w:b/>
          <w:sz w:val="28"/>
          <w:szCs w:val="28"/>
        </w:rPr>
        <w:tab/>
      </w:r>
    </w:p>
    <w:p w14:paraId="7439DADA" w14:textId="1225544E" w:rsidR="00BB4870" w:rsidRDefault="00BB4870" w:rsidP="00670B4A">
      <w:pPr>
        <w:spacing w:after="200" w:line="480" w:lineRule="auto"/>
        <w:rPr>
          <w:rFonts w:eastAsia="Times New Roman" w:cs="Times New Roman"/>
          <w:bCs/>
          <w:sz w:val="28"/>
          <w:szCs w:val="28"/>
        </w:rPr>
      </w:pPr>
      <w:r>
        <w:rPr>
          <w:rFonts w:eastAsia="Times New Roman" w:cs="Times New Roman"/>
          <w:bCs/>
          <w:sz w:val="28"/>
          <w:szCs w:val="28"/>
        </w:rPr>
        <w:t xml:space="preserve">If you are ruling on a </w:t>
      </w:r>
      <w:r>
        <w:rPr>
          <w:rFonts w:eastAsia="Times New Roman" w:cs="Times New Roman"/>
          <w:bCs/>
          <w:i/>
          <w:iCs/>
          <w:sz w:val="28"/>
          <w:szCs w:val="28"/>
        </w:rPr>
        <w:t>Daubert</w:t>
      </w:r>
      <w:r>
        <w:rPr>
          <w:rFonts w:eastAsia="Times New Roman" w:cs="Times New Roman"/>
          <w:bCs/>
          <w:sz w:val="28"/>
          <w:szCs w:val="28"/>
        </w:rPr>
        <w:t xml:space="preserve"> challenge, make sure your order references your function as a gatekeeper.</w:t>
      </w:r>
    </w:p>
    <w:p w14:paraId="3D1FF96C" w14:textId="6EA600EF" w:rsidR="00BB4870" w:rsidRDefault="00BB4870" w:rsidP="00670B4A">
      <w:pPr>
        <w:spacing w:after="200" w:line="480" w:lineRule="auto"/>
        <w:rPr>
          <w:rFonts w:eastAsia="Times New Roman" w:cs="Times New Roman"/>
          <w:bCs/>
          <w:sz w:val="28"/>
          <w:szCs w:val="28"/>
        </w:rPr>
      </w:pPr>
      <w:r>
        <w:rPr>
          <w:rFonts w:eastAsia="Times New Roman" w:cs="Times New Roman"/>
          <w:bCs/>
          <w:sz w:val="28"/>
          <w:szCs w:val="28"/>
        </w:rPr>
        <w:t>You need to note that you considered factors and, regardless of how you reference them, those factors you considered should include:</w:t>
      </w:r>
    </w:p>
    <w:p w14:paraId="717ECA6E" w14:textId="06A950B7" w:rsidR="00BB4870" w:rsidRDefault="00BB4870" w:rsidP="00BB4870">
      <w:pPr>
        <w:pStyle w:val="ListParagraph"/>
        <w:numPr>
          <w:ilvl w:val="0"/>
          <w:numId w:val="10"/>
        </w:numPr>
        <w:spacing w:after="200" w:line="480" w:lineRule="auto"/>
        <w:rPr>
          <w:rFonts w:eastAsia="Times New Roman" w:cs="Times New Roman"/>
          <w:bCs/>
          <w:sz w:val="28"/>
          <w:szCs w:val="28"/>
        </w:rPr>
      </w:pPr>
      <w:r>
        <w:rPr>
          <w:rFonts w:eastAsia="Times New Roman" w:cs="Times New Roman"/>
          <w:bCs/>
          <w:sz w:val="28"/>
          <w:szCs w:val="28"/>
        </w:rPr>
        <w:t>Qualifications of the expert;</w:t>
      </w:r>
    </w:p>
    <w:p w14:paraId="288A42C4" w14:textId="6B14C087" w:rsidR="00BB4870" w:rsidRDefault="00BB4870" w:rsidP="00BB4870">
      <w:pPr>
        <w:pStyle w:val="ListParagraph"/>
        <w:numPr>
          <w:ilvl w:val="0"/>
          <w:numId w:val="10"/>
        </w:numPr>
        <w:spacing w:after="200" w:line="480" w:lineRule="auto"/>
        <w:rPr>
          <w:rFonts w:eastAsia="Times New Roman" w:cs="Times New Roman"/>
          <w:bCs/>
          <w:sz w:val="28"/>
          <w:szCs w:val="28"/>
        </w:rPr>
      </w:pPr>
      <w:r>
        <w:rPr>
          <w:rFonts w:eastAsia="Times New Roman" w:cs="Times New Roman"/>
          <w:bCs/>
          <w:sz w:val="28"/>
          <w:szCs w:val="28"/>
        </w:rPr>
        <w:t>The methodology used by the expert is reliable;</w:t>
      </w:r>
    </w:p>
    <w:p w14:paraId="162AFB40" w14:textId="09E636CF" w:rsidR="00BB4870" w:rsidRDefault="00BB4870" w:rsidP="00BB4870">
      <w:pPr>
        <w:pStyle w:val="ListParagraph"/>
        <w:numPr>
          <w:ilvl w:val="0"/>
          <w:numId w:val="10"/>
        </w:numPr>
        <w:spacing w:after="200" w:line="480" w:lineRule="auto"/>
        <w:rPr>
          <w:rFonts w:eastAsia="Times New Roman" w:cs="Times New Roman"/>
          <w:bCs/>
          <w:sz w:val="28"/>
          <w:szCs w:val="28"/>
        </w:rPr>
      </w:pPr>
      <w:r>
        <w:rPr>
          <w:rFonts w:eastAsia="Times New Roman" w:cs="Times New Roman"/>
          <w:bCs/>
          <w:sz w:val="28"/>
          <w:szCs w:val="28"/>
        </w:rPr>
        <w:t>The testimony is relevant and will assist the trier of fact;</w:t>
      </w:r>
    </w:p>
    <w:p w14:paraId="5FD1540D" w14:textId="4B882FE8" w:rsidR="00BB4870" w:rsidRPr="00BB4870" w:rsidRDefault="00BB4870" w:rsidP="00BB4870">
      <w:pPr>
        <w:pStyle w:val="ListParagraph"/>
        <w:numPr>
          <w:ilvl w:val="0"/>
          <w:numId w:val="10"/>
        </w:numPr>
        <w:spacing w:after="200" w:line="480" w:lineRule="auto"/>
        <w:rPr>
          <w:rFonts w:eastAsia="Times New Roman" w:cs="Times New Roman"/>
          <w:bCs/>
          <w:sz w:val="28"/>
          <w:szCs w:val="28"/>
        </w:rPr>
      </w:pPr>
      <w:r>
        <w:rPr>
          <w:rFonts w:eastAsia="Times New Roman" w:cs="Times New Roman"/>
          <w:bCs/>
          <w:sz w:val="28"/>
          <w:szCs w:val="28"/>
        </w:rPr>
        <w:t>Rule 403 balancing test</w:t>
      </w:r>
    </w:p>
    <w:p w14:paraId="51082655" w14:textId="00491C8B" w:rsidR="00D22B3C" w:rsidRDefault="00D22B3C" w:rsidP="00D22B3C">
      <w:pPr>
        <w:spacing w:after="200" w:line="480" w:lineRule="auto"/>
        <w:rPr>
          <w:rFonts w:eastAsia="Times New Roman" w:cs="Times New Roman"/>
          <w:bCs/>
          <w:sz w:val="28"/>
          <w:szCs w:val="28"/>
        </w:rPr>
      </w:pPr>
      <w:r>
        <w:rPr>
          <w:rFonts w:eastAsia="Times New Roman" w:cs="Times New Roman"/>
          <w:b/>
          <w:sz w:val="28"/>
          <w:szCs w:val="28"/>
        </w:rPr>
        <w:lastRenderedPageBreak/>
        <w:pict w14:anchorId="29B42DAD">
          <v:rect id="_x0000_i1063" style="width:0;height:1.5pt" o:hralign="center" o:bullet="t" o:hrstd="t" o:hr="t" fillcolor="#a0a0a0" stroked="f"/>
        </w:pict>
      </w:r>
    </w:p>
    <w:p w14:paraId="64D2D44B" w14:textId="1C7874C8" w:rsidR="007E402B" w:rsidRDefault="007E402B" w:rsidP="007E402B">
      <w:pPr>
        <w:spacing w:after="200" w:line="480" w:lineRule="auto"/>
        <w:rPr>
          <w:rFonts w:eastAsia="Times New Roman" w:cs="Times New Roman"/>
          <w:b/>
          <w:sz w:val="28"/>
          <w:szCs w:val="28"/>
        </w:rPr>
      </w:pPr>
      <w:r>
        <w:rPr>
          <w:rFonts w:eastAsia="Times New Roman" w:cs="Times New Roman"/>
          <w:b/>
          <w:sz w:val="28"/>
          <w:szCs w:val="28"/>
        </w:rPr>
        <w:t>COUPLE OF EXAMPLES:</w:t>
      </w:r>
      <w:r w:rsidR="00670B4A">
        <w:rPr>
          <w:rFonts w:eastAsia="Times New Roman" w:cs="Times New Roman"/>
          <w:b/>
          <w:sz w:val="28"/>
          <w:szCs w:val="28"/>
        </w:rPr>
        <w:t xml:space="preserve"> [Not sure we go though this in detail – just reference that they exist in the outline]</w:t>
      </w:r>
    </w:p>
    <w:p w14:paraId="788EF54D" w14:textId="7C2ED6C5" w:rsidR="007E402B" w:rsidRDefault="007E402B" w:rsidP="007E402B">
      <w:pPr>
        <w:spacing w:after="200" w:line="480" w:lineRule="auto"/>
        <w:rPr>
          <w:rFonts w:eastAsia="Times New Roman" w:cs="Times New Roman"/>
          <w:b/>
          <w:sz w:val="28"/>
          <w:szCs w:val="28"/>
        </w:rPr>
      </w:pPr>
      <w:r>
        <w:rPr>
          <w:rFonts w:eastAsia="Times New Roman" w:cs="Times New Roman"/>
          <w:b/>
          <w:sz w:val="28"/>
          <w:szCs w:val="28"/>
        </w:rPr>
        <w:t xml:space="preserve">DUI CASES: </w:t>
      </w:r>
    </w:p>
    <w:p w14:paraId="5C599F8D" w14:textId="77777777" w:rsidR="00D22B3C" w:rsidRDefault="007E402B" w:rsidP="00D22B3C">
      <w:pPr>
        <w:spacing w:after="200" w:line="480" w:lineRule="auto"/>
        <w:rPr>
          <w:rFonts w:eastAsia="Times New Roman" w:cs="Times New Roman"/>
          <w:bCs/>
          <w:sz w:val="28"/>
          <w:szCs w:val="28"/>
        </w:rPr>
      </w:pPr>
      <w:r w:rsidRPr="007E402B">
        <w:rPr>
          <w:rFonts w:eastAsia="Times New Roman" w:cs="Times New Roman"/>
          <w:bCs/>
          <w:sz w:val="28"/>
          <w:szCs w:val="28"/>
        </w:rPr>
        <w:t xml:space="preserve">Federal law and existing Georgia law are in agreement that SFST such as the Walk and Turn (WAT) and One Leg Stand (OLS) tests are “merely a well-known consequence of intoxication, ‘as obvious to the layperson as to [an] expert.’” </w:t>
      </w:r>
      <w:r w:rsidRPr="007E402B">
        <w:rPr>
          <w:rFonts w:eastAsia="Times New Roman" w:cs="Times New Roman"/>
          <w:b/>
          <w:bCs/>
          <w:sz w:val="28"/>
          <w:szCs w:val="28"/>
          <w:vertAlign w:val="superscript"/>
        </w:rPr>
        <w:endnoteReference w:id="21"/>
      </w:r>
      <w:r w:rsidRPr="007E402B">
        <w:rPr>
          <w:rFonts w:eastAsia="Times New Roman" w:cs="Times New Roman"/>
          <w:bCs/>
          <w:sz w:val="28"/>
          <w:szCs w:val="28"/>
        </w:rPr>
        <w:t xml:space="preserve">  </w:t>
      </w:r>
    </w:p>
    <w:p w14:paraId="2BF22E44" w14:textId="61DB250E" w:rsidR="007E402B" w:rsidRDefault="007E402B" w:rsidP="00D22B3C">
      <w:pPr>
        <w:spacing w:after="200" w:line="480" w:lineRule="auto"/>
        <w:ind w:left="720"/>
        <w:rPr>
          <w:rFonts w:eastAsia="Times New Roman" w:cs="Times New Roman"/>
          <w:bCs/>
          <w:sz w:val="28"/>
          <w:szCs w:val="28"/>
        </w:rPr>
      </w:pPr>
      <w:r w:rsidRPr="007E402B">
        <w:rPr>
          <w:rFonts w:eastAsia="Times New Roman" w:cs="Times New Roman"/>
          <w:bCs/>
          <w:sz w:val="28"/>
          <w:szCs w:val="28"/>
        </w:rPr>
        <w:t>The federal case law describes the WAT and OLS as “psychomotor tests that obtain their legitimacy from the known effects of intoxication based upon propositions of common knowledge.”</w:t>
      </w:r>
      <w:r w:rsidRPr="007E402B">
        <w:rPr>
          <w:rFonts w:eastAsia="Times New Roman" w:cs="Times New Roman"/>
          <w:b/>
          <w:bCs/>
          <w:sz w:val="28"/>
          <w:szCs w:val="28"/>
          <w:vertAlign w:val="superscript"/>
        </w:rPr>
        <w:endnoteReference w:id="22"/>
      </w:r>
      <w:r w:rsidRPr="007E402B">
        <w:rPr>
          <w:rFonts w:eastAsia="Times New Roman" w:cs="Times New Roman"/>
          <w:bCs/>
          <w:sz w:val="28"/>
          <w:szCs w:val="28"/>
        </w:rPr>
        <w:t xml:space="preserve">  “Because psychomotor field sobriety tests are considered non-scientific or non-technical in nature, a description of the test and a defendant’s performance on the test may generally be admitted into evidence as lay opinion testimony under Rule 701, without the need for expert testimony.”</w:t>
      </w:r>
      <w:r w:rsidRPr="007E402B">
        <w:rPr>
          <w:rFonts w:eastAsia="Times New Roman" w:cs="Times New Roman"/>
          <w:b/>
          <w:bCs/>
          <w:sz w:val="28"/>
          <w:szCs w:val="28"/>
          <w:vertAlign w:val="superscript"/>
        </w:rPr>
        <w:endnoteReference w:id="23"/>
      </w:r>
      <w:r w:rsidRPr="007E402B">
        <w:rPr>
          <w:rFonts w:eastAsia="Times New Roman" w:cs="Times New Roman"/>
          <w:bCs/>
          <w:sz w:val="28"/>
          <w:szCs w:val="28"/>
        </w:rPr>
        <w:t xml:space="preserve">  An officer’s testimony about the inability of a suspect to complete the WAT and OLS does not amount to testimony regarding scientific procedures, “but instead amounts to testimony as to behavioral observations on the officer’s part.”</w:t>
      </w:r>
      <w:r w:rsidRPr="007E402B">
        <w:rPr>
          <w:rFonts w:eastAsia="Times New Roman" w:cs="Times New Roman"/>
          <w:b/>
          <w:bCs/>
          <w:sz w:val="28"/>
          <w:szCs w:val="28"/>
          <w:vertAlign w:val="superscript"/>
        </w:rPr>
        <w:endnoteReference w:id="24"/>
      </w:r>
    </w:p>
    <w:p w14:paraId="41981AAA" w14:textId="77777777" w:rsidR="00D22B3C" w:rsidRDefault="00D22B3C" w:rsidP="00D22B3C">
      <w:pPr>
        <w:spacing w:after="200" w:line="480" w:lineRule="auto"/>
        <w:rPr>
          <w:rFonts w:eastAsia="Times New Roman" w:cs="Times New Roman"/>
          <w:bCs/>
          <w:sz w:val="28"/>
          <w:szCs w:val="28"/>
        </w:rPr>
      </w:pPr>
      <w:r w:rsidRPr="00D22B3C">
        <w:rPr>
          <w:rFonts w:eastAsia="Times New Roman" w:cs="Times New Roman"/>
          <w:bCs/>
          <w:sz w:val="28"/>
          <w:szCs w:val="28"/>
        </w:rPr>
        <w:lastRenderedPageBreak/>
        <w:t xml:space="preserve">In contrast, both the HGN (Horizontal Gaze Nystagmus) and VGN (Vertical Gaze Nystagmus) are scientific tests that are based in science and not merely upon common knowledge.  </w:t>
      </w:r>
    </w:p>
    <w:p w14:paraId="57542F08" w14:textId="77777777" w:rsidR="00D22B3C" w:rsidRDefault="00D22B3C" w:rsidP="00D22B3C">
      <w:pPr>
        <w:spacing w:after="200" w:line="480" w:lineRule="auto"/>
        <w:ind w:left="720"/>
        <w:rPr>
          <w:rFonts w:eastAsia="Times New Roman" w:cs="Times New Roman"/>
          <w:bCs/>
          <w:sz w:val="28"/>
          <w:szCs w:val="28"/>
        </w:rPr>
      </w:pPr>
      <w:r w:rsidRPr="00D22B3C">
        <w:rPr>
          <w:rFonts w:eastAsia="Times New Roman" w:cs="Times New Roman"/>
          <w:bCs/>
          <w:sz w:val="28"/>
          <w:szCs w:val="28"/>
        </w:rPr>
        <w:t>A properly conducted HGN or VGN test is admissible as circumstantial evidence of impairment under federal law and Georgia law.</w:t>
      </w:r>
      <w:r w:rsidRPr="00D22B3C">
        <w:rPr>
          <w:rFonts w:eastAsia="Times New Roman" w:cs="Times New Roman"/>
          <w:b/>
          <w:bCs/>
          <w:sz w:val="28"/>
          <w:szCs w:val="28"/>
          <w:vertAlign w:val="superscript"/>
        </w:rPr>
        <w:endnoteReference w:id="25"/>
      </w:r>
      <w:r w:rsidRPr="00D22B3C">
        <w:rPr>
          <w:rFonts w:eastAsia="Times New Roman" w:cs="Times New Roman"/>
          <w:bCs/>
          <w:sz w:val="28"/>
          <w:szCs w:val="28"/>
        </w:rPr>
        <w:t xml:space="preserve">  </w:t>
      </w:r>
    </w:p>
    <w:p w14:paraId="2F29839F" w14:textId="0343B3C5" w:rsidR="00D22B3C" w:rsidRPr="007E402B" w:rsidRDefault="00D22B3C" w:rsidP="00D22B3C">
      <w:pPr>
        <w:spacing w:after="200" w:line="480" w:lineRule="auto"/>
        <w:ind w:left="720"/>
        <w:rPr>
          <w:rFonts w:eastAsia="Times New Roman" w:cs="Times New Roman"/>
          <w:bCs/>
          <w:sz w:val="28"/>
          <w:szCs w:val="28"/>
        </w:rPr>
      </w:pPr>
      <w:r w:rsidRPr="00D22B3C">
        <w:rPr>
          <w:rFonts w:eastAsia="Times New Roman" w:cs="Times New Roman"/>
          <w:bCs/>
          <w:sz w:val="28"/>
          <w:szCs w:val="28"/>
        </w:rPr>
        <w:t>However, the federal cases make clear that the record must include evidence that the officer has the requisite training and experience in administering HGN tests, that the officer’s training included the fact that alcohol consumption can cause exaggerated nystagmus, that the officer must testify about his administration of the HGN test, and whether exaggerated nystagmus was detected.</w:t>
      </w:r>
      <w:r w:rsidRPr="00D22B3C">
        <w:rPr>
          <w:rFonts w:eastAsia="Times New Roman" w:cs="Times New Roman"/>
          <w:b/>
          <w:bCs/>
          <w:sz w:val="28"/>
          <w:szCs w:val="28"/>
          <w:vertAlign w:val="superscript"/>
        </w:rPr>
        <w:endnoteReference w:id="26"/>
      </w:r>
    </w:p>
    <w:p w14:paraId="7408ACCC" w14:textId="33E00491" w:rsidR="00D92D3B" w:rsidRDefault="00000000" w:rsidP="00D92D3B">
      <w:pPr>
        <w:spacing w:after="160" w:line="259" w:lineRule="auto"/>
        <w:rPr>
          <w:rFonts w:eastAsia="Times New Roman" w:cs="Times New Roman"/>
          <w:b/>
          <w:sz w:val="28"/>
          <w:szCs w:val="28"/>
        </w:rPr>
      </w:pPr>
      <w:r>
        <w:rPr>
          <w:rFonts w:eastAsia="Times New Roman" w:cs="Times New Roman"/>
          <w:b/>
          <w:sz w:val="28"/>
          <w:szCs w:val="28"/>
        </w:rPr>
        <w:pict w14:anchorId="40811A70">
          <v:rect id="_x0000_i1039" style="width:0;height:1.5pt" o:hralign="center" o:hrstd="t" o:hr="t" fillcolor="#a0a0a0" stroked="f"/>
        </w:pict>
      </w:r>
    </w:p>
    <w:p w14:paraId="3EB1CD7C" w14:textId="0697FF90" w:rsidR="00555CD3" w:rsidRDefault="00555CD3" w:rsidP="00A352EC">
      <w:pPr>
        <w:keepNext/>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So, that’s all for our episode </w:t>
      </w:r>
      <w:r w:rsidR="001B3891">
        <w:rPr>
          <w:rFonts w:eastAsia="Times New Roman" w:cs="Times New Roman"/>
          <w:bCs/>
          <w:sz w:val="28"/>
          <w:szCs w:val="28"/>
        </w:rPr>
        <w:t xml:space="preserve">dealing with </w:t>
      </w:r>
      <w:r w:rsidR="00E761DC">
        <w:rPr>
          <w:rFonts w:eastAsia="Times New Roman" w:cs="Times New Roman"/>
          <w:bCs/>
          <w:i/>
          <w:iCs/>
          <w:sz w:val="28"/>
          <w:szCs w:val="28"/>
        </w:rPr>
        <w:t>Daubert</w:t>
      </w:r>
      <w:r w:rsidR="00D624B7">
        <w:rPr>
          <w:rFonts w:eastAsia="Times New Roman" w:cs="Times New Roman"/>
          <w:bCs/>
          <w:sz w:val="28"/>
          <w:szCs w:val="28"/>
        </w:rPr>
        <w:t>.</w:t>
      </w:r>
    </w:p>
    <w:p w14:paraId="33F3CB59" w14:textId="42391507" w:rsidR="00E761DC" w:rsidRPr="00943E38" w:rsidRDefault="00E761DC" w:rsidP="00555CD3">
      <w:pPr>
        <w:spacing w:line="480" w:lineRule="auto"/>
        <w:textAlignment w:val="baseline"/>
        <w:rPr>
          <w:rFonts w:eastAsia="Times New Roman" w:cs="Times New Roman"/>
          <w:bCs/>
          <w:i/>
          <w:iCs/>
          <w:sz w:val="28"/>
          <w:szCs w:val="28"/>
        </w:rPr>
      </w:pPr>
      <w:r w:rsidRPr="00943E38">
        <w:rPr>
          <w:rFonts w:eastAsia="Times New Roman" w:cs="Times New Roman"/>
          <w:bCs/>
          <w:i/>
          <w:iCs/>
          <w:sz w:val="28"/>
          <w:szCs w:val="28"/>
        </w:rPr>
        <w:t>We have not attempted to answer all of your questions in this episode – we are all going to be required to learn this law through trial and error.</w:t>
      </w:r>
    </w:p>
    <w:p w14:paraId="22E87FE4" w14:textId="6FB11E3B" w:rsidR="00E761DC" w:rsidRDefault="00E761DC" w:rsidP="00555CD3">
      <w:pPr>
        <w:spacing w:line="480" w:lineRule="auto"/>
        <w:textAlignment w:val="baseline"/>
        <w:rPr>
          <w:rFonts w:eastAsia="Times New Roman" w:cs="Times New Roman"/>
          <w:bCs/>
          <w:sz w:val="28"/>
          <w:szCs w:val="28"/>
        </w:rPr>
      </w:pPr>
      <w:r>
        <w:rPr>
          <w:rFonts w:eastAsia="Times New Roman" w:cs="Times New Roman"/>
          <w:bCs/>
          <w:sz w:val="28"/>
          <w:szCs w:val="28"/>
        </w:rPr>
        <w:t>And we will be awaiting appellate decisions with great anticipation.</w:t>
      </w:r>
    </w:p>
    <w:p w14:paraId="78E1A043" w14:textId="1AF007C8" w:rsidR="00E761DC" w:rsidRDefault="00E761DC" w:rsidP="00555CD3">
      <w:pPr>
        <w:spacing w:line="480" w:lineRule="auto"/>
        <w:textAlignment w:val="baseline"/>
        <w:rPr>
          <w:rFonts w:eastAsia="Times New Roman" w:cs="Times New Roman"/>
          <w:bCs/>
          <w:i/>
          <w:iCs/>
          <w:sz w:val="28"/>
          <w:szCs w:val="28"/>
        </w:rPr>
      </w:pPr>
      <w:r w:rsidRPr="00943E38">
        <w:rPr>
          <w:rFonts w:eastAsia="Times New Roman" w:cs="Times New Roman"/>
          <w:bCs/>
          <w:i/>
          <w:iCs/>
          <w:sz w:val="28"/>
          <w:szCs w:val="28"/>
        </w:rPr>
        <w:t>You can count on the Good Judge-Ment Podcast to share some of the important Daubert decisions as they come from the appellate courts.</w:t>
      </w:r>
    </w:p>
    <w:p w14:paraId="05673244" w14:textId="492C8358" w:rsidR="00943E38" w:rsidRPr="00943E38" w:rsidRDefault="00943E38" w:rsidP="00555CD3">
      <w:pPr>
        <w:spacing w:line="480" w:lineRule="auto"/>
        <w:textAlignment w:val="baseline"/>
        <w:rPr>
          <w:rFonts w:eastAsia="Times New Roman" w:cs="Times New Roman"/>
          <w:bCs/>
          <w:sz w:val="28"/>
          <w:szCs w:val="28"/>
        </w:rPr>
      </w:pPr>
      <w:r>
        <w:rPr>
          <w:rFonts w:eastAsia="Times New Roman" w:cs="Times New Roman"/>
          <w:bCs/>
          <w:sz w:val="28"/>
          <w:szCs w:val="28"/>
        </w:rPr>
        <w:lastRenderedPageBreak/>
        <w:t xml:space="preserve">We will try to make sure we announce any important “flash” episodes </w:t>
      </w:r>
      <w:r w:rsidR="005C1A2B">
        <w:rPr>
          <w:rFonts w:eastAsia="Times New Roman" w:cs="Times New Roman"/>
          <w:bCs/>
          <w:sz w:val="28"/>
          <w:szCs w:val="28"/>
        </w:rPr>
        <w:t xml:space="preserve">with important cases that come from the appellate courts </w:t>
      </w:r>
      <w:r>
        <w:rPr>
          <w:rFonts w:eastAsia="Times New Roman" w:cs="Times New Roman"/>
          <w:bCs/>
          <w:sz w:val="28"/>
          <w:szCs w:val="28"/>
        </w:rPr>
        <w:t>on our LinkedIn page – so be sure to follow us there.</w:t>
      </w:r>
    </w:p>
    <w:p w14:paraId="4624E723" w14:textId="1033F2BC"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The outline is full of statutory and case citations and that outline can be found at </w:t>
      </w:r>
      <w:r w:rsidRPr="00555CD3">
        <w:rPr>
          <w:rFonts w:eastAsia="Times New Roman" w:cs="Times New Roman"/>
          <w:b/>
          <w:sz w:val="28"/>
          <w:szCs w:val="28"/>
        </w:rPr>
        <w:t>goodjudgepod.com</w:t>
      </w:r>
      <w:r w:rsidRPr="00555CD3">
        <w:rPr>
          <w:rFonts w:eastAsia="Times New Roman" w:cs="Times New Roman"/>
          <w:bCs/>
          <w:sz w:val="28"/>
          <w:szCs w:val="28"/>
        </w:rPr>
        <w:t>.</w:t>
      </w:r>
    </w:p>
    <w:p w14:paraId="10C4026F" w14:textId="77777777"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Reach out to us on </w:t>
      </w:r>
      <w:hyperlink r:id="rId8" w:history="1">
        <w:r w:rsidRPr="00555CD3">
          <w:rPr>
            <w:rFonts w:eastAsia="Times New Roman" w:cs="Times New Roman"/>
            <w:bCs/>
            <w:color w:val="0000FF"/>
            <w:sz w:val="28"/>
            <w:szCs w:val="28"/>
            <w:u w:val="single"/>
          </w:rPr>
          <w:t>goodjudgepod@gmail.com</w:t>
        </w:r>
      </w:hyperlink>
      <w:r w:rsidRPr="00555CD3">
        <w:rPr>
          <w:rFonts w:eastAsia="Times New Roman" w:cs="Times New Roman"/>
          <w:bCs/>
          <w:sz w:val="28"/>
          <w:szCs w:val="28"/>
        </w:rPr>
        <w:t xml:space="preserve"> with all of your podcast topic ideas</w:t>
      </w:r>
    </w:p>
    <w:p w14:paraId="4A9E1233" w14:textId="77777777" w:rsidR="00555CD3" w:rsidRPr="00555CD3" w:rsidRDefault="00555CD3" w:rsidP="00555CD3">
      <w:pPr>
        <w:spacing w:line="480" w:lineRule="auto"/>
        <w:textAlignment w:val="baseline"/>
        <w:rPr>
          <w:rFonts w:eastAsia="Times New Roman" w:cs="Times New Roman"/>
          <w:b/>
          <w:sz w:val="28"/>
          <w:szCs w:val="28"/>
        </w:rPr>
      </w:pPr>
      <w:r w:rsidRPr="00555CD3">
        <w:rPr>
          <w:rFonts w:eastAsia="Times New Roman" w:cs="Times New Roman"/>
          <w:b/>
          <w:sz w:val="28"/>
          <w:szCs w:val="28"/>
        </w:rPr>
        <w:t>I’m Wade Padgett</w:t>
      </w:r>
    </w:p>
    <w:p w14:paraId="71E12223" w14:textId="07D40069" w:rsidR="006C1C3B" w:rsidRDefault="00555CD3" w:rsidP="00A978B0">
      <w:pPr>
        <w:spacing w:line="480" w:lineRule="auto"/>
        <w:textAlignment w:val="baseline"/>
        <w:rPr>
          <w:rFonts w:eastAsia="Times New Roman" w:cs="Times New Roman"/>
          <w:i/>
          <w:sz w:val="28"/>
          <w:szCs w:val="28"/>
        </w:rPr>
      </w:pPr>
      <w:r w:rsidRPr="00555CD3">
        <w:rPr>
          <w:rFonts w:eastAsia="Times New Roman" w:cs="Times New Roman"/>
          <w:i/>
          <w:sz w:val="28"/>
          <w:szCs w:val="28"/>
        </w:rPr>
        <w:t>And I’m Tain Kell…</w:t>
      </w:r>
      <w:bookmarkEnd w:id="0"/>
      <w:r w:rsidR="00943E38">
        <w:rPr>
          <w:rFonts w:eastAsia="Times New Roman" w:cs="Times New Roman"/>
          <w:i/>
          <w:sz w:val="28"/>
          <w:szCs w:val="28"/>
        </w:rPr>
        <w:t>Rolling Stone magazine nam</w:t>
      </w:r>
      <w:r w:rsidR="005C1A2B">
        <w:rPr>
          <w:rFonts w:eastAsia="Times New Roman" w:cs="Times New Roman"/>
          <w:i/>
          <w:sz w:val="28"/>
          <w:szCs w:val="28"/>
        </w:rPr>
        <w:t>ed</w:t>
      </w:r>
      <w:r w:rsidR="00943E38">
        <w:rPr>
          <w:rFonts w:eastAsia="Times New Roman" w:cs="Times New Roman"/>
          <w:i/>
          <w:sz w:val="28"/>
          <w:szCs w:val="28"/>
        </w:rPr>
        <w:t xml:space="preserve"> their “100 Greatest Artists of All Time” and listed the following people as their top three selections: Elvis Presley, The Rolling Stones and The Beatles.  Man, I bet Taylor Swift was mad.  I bet she “Shook it off” by saying “Haters gonna’ hate.”</w:t>
      </w:r>
    </w:p>
    <w:p w14:paraId="562371CF" w14:textId="77777777" w:rsidR="00243C96" w:rsidRDefault="00243C96">
      <w:pPr>
        <w:spacing w:after="160" w:line="259" w:lineRule="auto"/>
        <w:rPr>
          <w:rFonts w:eastAsia="Times New Roman" w:cs="Times New Roman"/>
          <w:i/>
          <w:sz w:val="28"/>
          <w:szCs w:val="28"/>
        </w:rPr>
      </w:pPr>
    </w:p>
    <w:p w14:paraId="1AF10F6F" w14:textId="77777777" w:rsidR="00243C96" w:rsidRPr="00243C96" w:rsidRDefault="00243C96" w:rsidP="00243C96">
      <w:pPr>
        <w:rPr>
          <w:rFonts w:eastAsia="Times New Roman" w:cs="Times New Roman"/>
          <w:sz w:val="28"/>
          <w:szCs w:val="28"/>
        </w:rPr>
      </w:pPr>
    </w:p>
    <w:p w14:paraId="20C906A3" w14:textId="77777777" w:rsidR="00243C96" w:rsidRPr="00243C96" w:rsidRDefault="00243C96" w:rsidP="00243C96">
      <w:pPr>
        <w:rPr>
          <w:rFonts w:eastAsia="Times New Roman" w:cs="Times New Roman"/>
          <w:sz w:val="28"/>
          <w:szCs w:val="28"/>
        </w:rPr>
      </w:pPr>
    </w:p>
    <w:p w14:paraId="1E1D31A7" w14:textId="77777777" w:rsidR="00243C96" w:rsidRPr="00243C96" w:rsidRDefault="00243C96" w:rsidP="00243C96">
      <w:pPr>
        <w:rPr>
          <w:rFonts w:eastAsia="Times New Roman" w:cs="Times New Roman"/>
          <w:sz w:val="28"/>
          <w:szCs w:val="28"/>
        </w:rPr>
      </w:pPr>
    </w:p>
    <w:p w14:paraId="5524A976" w14:textId="77777777" w:rsidR="00243C96" w:rsidRPr="00243C96" w:rsidRDefault="00243C96" w:rsidP="00243C96">
      <w:pPr>
        <w:rPr>
          <w:rFonts w:eastAsia="Times New Roman" w:cs="Times New Roman"/>
          <w:sz w:val="28"/>
          <w:szCs w:val="28"/>
        </w:rPr>
      </w:pPr>
    </w:p>
    <w:p w14:paraId="02080762" w14:textId="77777777" w:rsidR="00243C96" w:rsidRDefault="00243C96" w:rsidP="00243C96">
      <w:pPr>
        <w:spacing w:after="160" w:line="259" w:lineRule="auto"/>
        <w:jc w:val="center"/>
        <w:rPr>
          <w:rFonts w:eastAsia="Times New Roman" w:cs="Times New Roman"/>
          <w:i/>
          <w:sz w:val="28"/>
          <w:szCs w:val="28"/>
        </w:rPr>
      </w:pPr>
    </w:p>
    <w:p w14:paraId="427B0EF5" w14:textId="77777777" w:rsidR="00243C96" w:rsidRDefault="00243C96">
      <w:pPr>
        <w:spacing w:after="160" w:line="259" w:lineRule="auto"/>
        <w:rPr>
          <w:rFonts w:eastAsia="Times New Roman" w:cs="Times New Roman"/>
          <w:i/>
          <w:sz w:val="28"/>
          <w:szCs w:val="28"/>
        </w:rPr>
      </w:pPr>
    </w:p>
    <w:p w14:paraId="292738F2" w14:textId="090FE96F" w:rsidR="006C1C3B" w:rsidRDefault="006C1C3B">
      <w:pPr>
        <w:spacing w:after="160" w:line="259" w:lineRule="auto"/>
        <w:rPr>
          <w:rFonts w:eastAsia="Times New Roman" w:cs="Times New Roman"/>
          <w:i/>
          <w:sz w:val="28"/>
          <w:szCs w:val="28"/>
        </w:rPr>
      </w:pPr>
      <w:r w:rsidRPr="00243C96">
        <w:rPr>
          <w:rFonts w:eastAsia="Times New Roman" w:cs="Times New Roman"/>
          <w:sz w:val="28"/>
          <w:szCs w:val="28"/>
        </w:rPr>
        <w:br w:type="page"/>
      </w:r>
    </w:p>
    <w:sectPr w:rsidR="006C1C3B" w:rsidSect="00555CD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B5B5" w14:textId="77777777" w:rsidR="002D6EBA" w:rsidRDefault="002D6EBA" w:rsidP="00A52F35">
      <w:pPr>
        <w:spacing w:line="240" w:lineRule="auto"/>
      </w:pPr>
      <w:r>
        <w:separator/>
      </w:r>
    </w:p>
  </w:endnote>
  <w:endnote w:type="continuationSeparator" w:id="0">
    <w:p w14:paraId="0BDE9278" w14:textId="77777777" w:rsidR="002D6EBA" w:rsidRDefault="002D6EBA" w:rsidP="00A52F35">
      <w:pPr>
        <w:spacing w:line="240" w:lineRule="auto"/>
      </w:pPr>
      <w:r>
        <w:continuationSeparator/>
      </w:r>
    </w:p>
  </w:endnote>
  <w:endnote w:id="1">
    <w:p w14:paraId="08DEA66A" w14:textId="4A679CA9" w:rsidR="00934E0A" w:rsidRDefault="00934E0A">
      <w:pPr>
        <w:pStyle w:val="EndnoteText"/>
      </w:pPr>
      <w:r>
        <w:rPr>
          <w:rStyle w:val="EndnoteReference"/>
        </w:rPr>
        <w:endnoteRef/>
      </w:r>
      <w:r>
        <w:t xml:space="preserve"> Ga. Laws 2022, Act 742, § 1.</w:t>
      </w:r>
    </w:p>
  </w:endnote>
  <w:endnote w:id="2">
    <w:p w14:paraId="4A0D7E41" w14:textId="6C50A0A0" w:rsidR="00C226FC" w:rsidRDefault="00C226FC">
      <w:pPr>
        <w:pStyle w:val="EndnoteText"/>
      </w:pPr>
      <w:r>
        <w:rPr>
          <w:rStyle w:val="EndnoteReference"/>
        </w:rPr>
        <w:endnoteRef/>
      </w:r>
      <w:r>
        <w:t xml:space="preserve"> </w:t>
      </w:r>
      <w:r>
        <w:t xml:space="preserve">Ga. Laws 2022, Act 742, § </w:t>
      </w:r>
      <w:r>
        <w:t>3.</w:t>
      </w:r>
    </w:p>
  </w:endnote>
  <w:endnote w:id="3">
    <w:p w14:paraId="378A7003" w14:textId="77777777" w:rsidR="00666DF6" w:rsidRDefault="00666DF6" w:rsidP="00666DF6">
      <w:pPr>
        <w:pStyle w:val="EndnoteText"/>
      </w:pPr>
      <w:r>
        <w:rPr>
          <w:rStyle w:val="EndnoteReference"/>
        </w:rPr>
        <w:endnoteRef/>
      </w:r>
      <w:r>
        <w:t xml:space="preserve"> </w:t>
      </w:r>
      <w:r>
        <w:rPr>
          <w:i/>
          <w:iCs/>
        </w:rPr>
        <w:t>Georgia Rules of Evidence</w:t>
      </w:r>
      <w:r>
        <w:t>, Paul S. Milich, October 2021 Update, §1:3.</w:t>
      </w:r>
    </w:p>
  </w:endnote>
  <w:endnote w:id="4">
    <w:p w14:paraId="51B5EE8F" w14:textId="77777777" w:rsidR="00336E4C" w:rsidRDefault="00336E4C" w:rsidP="00336E4C">
      <w:pPr>
        <w:pStyle w:val="EndnoteText"/>
      </w:pPr>
      <w:r>
        <w:rPr>
          <w:rStyle w:val="EndnoteReference"/>
        </w:rPr>
        <w:endnoteRef/>
      </w:r>
      <w:r>
        <w:t xml:space="preserve"> </w:t>
      </w:r>
      <w:r w:rsidRPr="00DC4C62">
        <w:rPr>
          <w:i/>
          <w:iCs/>
        </w:rPr>
        <w:t>State v. Almanza</w:t>
      </w:r>
      <w:r w:rsidRPr="00DC4C62">
        <w:t>, 304 Ga. 553, 558</w:t>
      </w:r>
      <w:r>
        <w:t xml:space="preserve"> </w:t>
      </w:r>
      <w:r w:rsidRPr="00DC4C62">
        <w:t>(2018)</w:t>
      </w:r>
      <w:r>
        <w:t>.</w:t>
      </w:r>
    </w:p>
  </w:endnote>
  <w:endnote w:id="5">
    <w:p w14:paraId="1AC106C2" w14:textId="77777777" w:rsidR="007E402B" w:rsidRPr="006035D6" w:rsidRDefault="007E402B" w:rsidP="007E402B">
      <w:pPr>
        <w:pStyle w:val="EndnoteText"/>
      </w:pPr>
      <w:r>
        <w:rPr>
          <w:rStyle w:val="EndnoteReference"/>
        </w:rPr>
        <w:endnoteRef/>
      </w:r>
      <w:r>
        <w:t xml:space="preserve"> </w:t>
      </w:r>
      <w:r>
        <w:rPr>
          <w:i/>
          <w:iCs/>
        </w:rPr>
        <w:t>U.S. v. Nguyen</w:t>
      </w:r>
      <w:r>
        <w:t xml:space="preserve">, 75 Fed. R. Evid. Serv. 1018 (2008), citing </w:t>
      </w:r>
      <w:r>
        <w:rPr>
          <w:i/>
          <w:iCs/>
        </w:rPr>
        <w:t>U.S. v. Van Hazel</w:t>
      </w:r>
      <w:r>
        <w:t>, 468 F.Supp.2d 792, 796 (W.D.N.C. 2006).</w:t>
      </w:r>
    </w:p>
  </w:endnote>
  <w:endnote w:id="6">
    <w:p w14:paraId="61EEACD9" w14:textId="56D00971" w:rsidR="00F5353B" w:rsidRDefault="00F5353B">
      <w:pPr>
        <w:pStyle w:val="EndnoteText"/>
      </w:pPr>
      <w:r>
        <w:rPr>
          <w:rStyle w:val="EndnoteReference"/>
        </w:rPr>
        <w:endnoteRef/>
      </w:r>
      <w:r>
        <w:t xml:space="preserve"> </w:t>
      </w:r>
      <w:r>
        <w:rPr>
          <w:i/>
          <w:iCs/>
        </w:rPr>
        <w:t>Daubert v. Merrell Dow Pharmaceuticals, Inc.</w:t>
      </w:r>
      <w:r>
        <w:t>, 509 U.S. 579 (1993).</w:t>
      </w:r>
    </w:p>
  </w:endnote>
  <w:endnote w:id="7">
    <w:p w14:paraId="75E59163" w14:textId="7114E593" w:rsidR="00001404" w:rsidRDefault="00001404">
      <w:pPr>
        <w:pStyle w:val="EndnoteText"/>
      </w:pPr>
      <w:r>
        <w:rPr>
          <w:rStyle w:val="EndnoteReference"/>
        </w:rPr>
        <w:endnoteRef/>
      </w:r>
      <w:r>
        <w:t xml:space="preserve"> </w:t>
      </w:r>
      <w:r>
        <w:rPr>
          <w:rFonts w:ascii="Source Sans Pro" w:hAnsi="Source Sans Pro"/>
          <w:color w:val="3D3D3D"/>
          <w:sz w:val="27"/>
          <w:szCs w:val="27"/>
          <w:shd w:val="clear" w:color="auto" w:fill="FFFFFF"/>
        </w:rPr>
        <w:t> </w:t>
      </w:r>
      <w:r w:rsidRPr="004D2154">
        <w:rPr>
          <w:rFonts w:cs="Times New Roman"/>
          <w:i/>
          <w:iCs/>
          <w:szCs w:val="24"/>
          <w:bdr w:val="none" w:sz="0" w:space="0" w:color="auto" w:frame="1"/>
          <w:shd w:val="clear" w:color="auto" w:fill="FFFFFF"/>
        </w:rPr>
        <w:t>General Electric Co. v. Joiner</w:t>
      </w:r>
      <w:r w:rsidRPr="004D2154">
        <w:rPr>
          <w:rFonts w:cs="Times New Roman"/>
          <w:szCs w:val="24"/>
          <w:bdr w:val="none" w:sz="0" w:space="0" w:color="auto" w:frame="1"/>
          <w:shd w:val="clear" w:color="auto" w:fill="FFFFFF"/>
        </w:rPr>
        <w:t>, 522 U.S. 136 (1997)</w:t>
      </w:r>
      <w:r w:rsidR="004D2154">
        <w:rPr>
          <w:rFonts w:cs="Times New Roman"/>
          <w:szCs w:val="24"/>
          <w:bdr w:val="none" w:sz="0" w:space="0" w:color="auto" w:frame="1"/>
          <w:shd w:val="clear" w:color="auto" w:fill="FFFFFF"/>
        </w:rPr>
        <w:t>.</w:t>
      </w:r>
    </w:p>
  </w:endnote>
  <w:endnote w:id="8">
    <w:p w14:paraId="179D91C1" w14:textId="49B81F6E" w:rsidR="004D2154" w:rsidRDefault="004D2154">
      <w:pPr>
        <w:pStyle w:val="EndnoteText"/>
      </w:pPr>
      <w:r>
        <w:rPr>
          <w:rStyle w:val="EndnoteReference"/>
        </w:rPr>
        <w:endnoteRef/>
      </w:r>
      <w:r>
        <w:t xml:space="preserve"> </w:t>
      </w:r>
      <w:r w:rsidRPr="004D2154">
        <w:t> </w:t>
      </w:r>
      <w:r w:rsidRPr="004D2154">
        <w:rPr>
          <w:i/>
          <w:iCs/>
        </w:rPr>
        <w:t>Kumho Tire Co. Ltd. v. Carmichael</w:t>
      </w:r>
      <w:r w:rsidRPr="004D2154">
        <w:t>, 526 U.S. 137 (1999)</w:t>
      </w:r>
      <w:r>
        <w:t>.</w:t>
      </w:r>
    </w:p>
  </w:endnote>
  <w:endnote w:id="9">
    <w:p w14:paraId="28747042" w14:textId="712730B4" w:rsidR="00C136E3" w:rsidRPr="00C136E3" w:rsidRDefault="00C136E3">
      <w:pPr>
        <w:pStyle w:val="EndnoteText"/>
      </w:pPr>
      <w:r>
        <w:rPr>
          <w:rStyle w:val="EndnoteReference"/>
        </w:rPr>
        <w:endnoteRef/>
      </w:r>
      <w:r>
        <w:t xml:space="preserve"> </w:t>
      </w:r>
      <w:r>
        <w:rPr>
          <w:i/>
          <w:iCs/>
        </w:rPr>
        <w:t>Wilson v. Redmond Construction, Inc.</w:t>
      </w:r>
      <w:r>
        <w:t xml:space="preserve">, 359 Ga. App. 814 (2021), quoting </w:t>
      </w:r>
      <w:r>
        <w:rPr>
          <w:i/>
          <w:iCs/>
        </w:rPr>
        <w:t>Rink v. Cheminova, Inc.</w:t>
      </w:r>
      <w:r>
        <w:t>, 400 F.3d 1286, 1291-1292 (11</w:t>
      </w:r>
      <w:r w:rsidRPr="00C136E3">
        <w:rPr>
          <w:vertAlign w:val="superscript"/>
        </w:rPr>
        <w:t>th</w:t>
      </w:r>
      <w:r>
        <w:t xml:space="preserve"> Cir. 2005).</w:t>
      </w:r>
    </w:p>
  </w:endnote>
  <w:endnote w:id="10">
    <w:p w14:paraId="6835BA8D" w14:textId="1446F9A4" w:rsidR="001B5AEF" w:rsidRDefault="001B5AEF" w:rsidP="001B5AEF">
      <w:pPr>
        <w:pStyle w:val="EndnoteText"/>
      </w:pPr>
      <w:r>
        <w:rPr>
          <w:rStyle w:val="EndnoteReference"/>
        </w:rPr>
        <w:endnoteRef/>
      </w:r>
      <w:r>
        <w:t xml:space="preserve"> O.C.G.A. §</w:t>
      </w:r>
      <w:r w:rsidR="000F1719">
        <w:t> </w:t>
      </w:r>
      <w:r>
        <w:t>24-7-702(b).</w:t>
      </w:r>
    </w:p>
  </w:endnote>
  <w:endnote w:id="11">
    <w:p w14:paraId="44707258" w14:textId="77777777" w:rsidR="00F80319" w:rsidRPr="000D204C" w:rsidRDefault="00F80319" w:rsidP="00F80319">
      <w:pPr>
        <w:pStyle w:val="EndnoteText"/>
      </w:pPr>
      <w:r>
        <w:rPr>
          <w:rStyle w:val="EndnoteReference"/>
        </w:rPr>
        <w:endnoteRef/>
      </w:r>
      <w:r>
        <w:t xml:space="preserve"> </w:t>
      </w:r>
      <w:r>
        <w:rPr>
          <w:i/>
          <w:iCs/>
        </w:rPr>
        <w:t>U.S. v. Frazier</w:t>
      </w:r>
      <w:r>
        <w:t>, 387 F.3d 1244, 1260 (11</w:t>
      </w:r>
      <w:r w:rsidRPr="00E346B7">
        <w:rPr>
          <w:vertAlign w:val="superscript"/>
        </w:rPr>
        <w:t>th</w:t>
      </w:r>
      <w:r>
        <w:t xml:space="preserve"> Cir. 2004), citing </w:t>
      </w:r>
      <w:r>
        <w:rPr>
          <w:i/>
          <w:iCs/>
        </w:rPr>
        <w:t>City of Tuscaloosa v. Harcross Chems., Inc</w:t>
      </w:r>
      <w:r>
        <w:t>, 158 F3d 548, 562 (11</w:t>
      </w:r>
      <w:r w:rsidRPr="000D204C">
        <w:rPr>
          <w:vertAlign w:val="superscript"/>
        </w:rPr>
        <w:t>th</w:t>
      </w:r>
      <w:r>
        <w:t xml:space="preserve"> Cir. 1998), citing </w:t>
      </w:r>
      <w:r>
        <w:rPr>
          <w:i/>
          <w:iCs/>
        </w:rPr>
        <w:t>Daubert</w:t>
      </w:r>
      <w:r>
        <w:t>, at 589.</w:t>
      </w:r>
    </w:p>
  </w:endnote>
  <w:endnote w:id="12">
    <w:p w14:paraId="67AA92B4" w14:textId="0FA6E0E5" w:rsidR="00C962C0" w:rsidRDefault="00C962C0">
      <w:pPr>
        <w:pStyle w:val="EndnoteText"/>
      </w:pPr>
      <w:r>
        <w:rPr>
          <w:rStyle w:val="EndnoteReference"/>
        </w:rPr>
        <w:endnoteRef/>
      </w:r>
      <w:r>
        <w:t xml:space="preserve"> </w:t>
      </w:r>
      <w:r w:rsidRPr="004D2154">
        <w:rPr>
          <w:i/>
          <w:iCs/>
        </w:rPr>
        <w:t>Kumho Tire Co. Ltd. v. Carmichael</w:t>
      </w:r>
      <w:r w:rsidRPr="004D2154">
        <w:t>, 526 U.S. 137</w:t>
      </w:r>
      <w:r>
        <w:t>. 152-153</w:t>
      </w:r>
      <w:r w:rsidRPr="004D2154">
        <w:t xml:space="preserve"> (1999)</w:t>
      </w:r>
      <w:r>
        <w:t>.</w:t>
      </w:r>
      <w:r>
        <w:t xml:space="preserve"> (noting that one of the express purposes of the rules is to avoid “unjustifiable expense and delay” as noted in O.C.G.A. §</w:t>
      </w:r>
      <w:r w:rsidR="000F1719">
        <w:t> </w:t>
      </w:r>
      <w:r>
        <w:t>24-1-1.</w:t>
      </w:r>
    </w:p>
  </w:endnote>
  <w:endnote w:id="13">
    <w:p w14:paraId="03D25058" w14:textId="2D7BEB40" w:rsidR="000F1719" w:rsidRPr="00064B18" w:rsidRDefault="000F1719">
      <w:pPr>
        <w:pStyle w:val="EndnoteText"/>
      </w:pPr>
      <w:r>
        <w:rPr>
          <w:rStyle w:val="EndnoteReference"/>
        </w:rPr>
        <w:endnoteRef/>
      </w:r>
      <w:r>
        <w:t xml:space="preserve"> </w:t>
      </w:r>
      <w:r>
        <w:rPr>
          <w:i/>
          <w:iCs/>
        </w:rPr>
        <w:t>Santana v. State</w:t>
      </w:r>
      <w:r>
        <w:t xml:space="preserve">, 308 Ga. 706 (2020) (fingerprints); </w:t>
      </w:r>
      <w:r>
        <w:rPr>
          <w:i/>
          <w:iCs/>
        </w:rPr>
        <w:t>Fortune v. State</w:t>
      </w:r>
      <w:r>
        <w:t xml:space="preserve">, 304 Ga. App. 294 (2010) (field test for cocaine); </w:t>
      </w:r>
      <w:r>
        <w:rPr>
          <w:i/>
          <w:iCs/>
        </w:rPr>
        <w:t>Webb v. State</w:t>
      </w:r>
      <w:r>
        <w:t>, 277 Ga. App. 355. 358 (2006) (HGN as indicator of impairment by alcohol)</w:t>
      </w:r>
      <w:r w:rsidR="00064B18">
        <w:t xml:space="preserve">; </w:t>
      </w:r>
      <w:r w:rsidR="00064B18">
        <w:rPr>
          <w:i/>
          <w:iCs/>
        </w:rPr>
        <w:t>Bluain v. State</w:t>
      </w:r>
      <w:r w:rsidR="00064B18">
        <w:t>, 242 Ga. App. 125 (2000) (certain DNA testing).</w:t>
      </w:r>
    </w:p>
  </w:endnote>
  <w:endnote w:id="14">
    <w:p w14:paraId="4FE3ED9A" w14:textId="77777777" w:rsidR="00E761DC" w:rsidRPr="00064B18" w:rsidRDefault="00E761DC" w:rsidP="00E761DC">
      <w:pPr>
        <w:pStyle w:val="EndnoteText"/>
      </w:pPr>
      <w:r>
        <w:rPr>
          <w:rStyle w:val="EndnoteReference"/>
        </w:rPr>
        <w:endnoteRef/>
      </w:r>
      <w:r>
        <w:t xml:space="preserve"> </w:t>
      </w:r>
      <w:r>
        <w:rPr>
          <w:i/>
          <w:iCs/>
        </w:rPr>
        <w:t>Wilson v. Redmond Construction, Inc.,</w:t>
      </w:r>
      <w:r>
        <w:t xml:space="preserve"> 359 Ga. App. 814 (2021); </w:t>
      </w:r>
      <w:r>
        <w:rPr>
          <w:i/>
          <w:iCs/>
        </w:rPr>
        <w:t>Ga. Dept. of Trans. v. Baldwin</w:t>
      </w:r>
      <w:r>
        <w:t>, 292 Ga. App. 816 (2008).</w:t>
      </w:r>
    </w:p>
  </w:endnote>
  <w:endnote w:id="15">
    <w:p w14:paraId="51B35D1C" w14:textId="5FA69AB4" w:rsidR="00E77BDB" w:rsidRDefault="00E77BDB">
      <w:pPr>
        <w:pStyle w:val="EndnoteText"/>
      </w:pPr>
      <w:r>
        <w:rPr>
          <w:rStyle w:val="EndnoteReference"/>
        </w:rPr>
        <w:endnoteRef/>
      </w:r>
      <w:r>
        <w:t xml:space="preserve"> </w:t>
      </w:r>
      <w:r w:rsidR="00DC771F" w:rsidRPr="00DC771F">
        <w:rPr>
          <w:i/>
          <w:iCs/>
        </w:rPr>
        <w:t>Gold Kist, Inc. v. Base Mfg., Inc.,</w:t>
      </w:r>
      <w:r w:rsidR="00DC771F" w:rsidRPr="00DC771F">
        <w:t xml:space="preserve"> 289 Ga. App. 690, 693 (2008) (“A jury is not obligated to accept a witness's testimony even when it is uncontradicted.”)  The pattern jury charge dealing with credibility of witnesses and the pattern charge on expert witnesses remind the jury that they are not required to accept the testimony of any witness, expert or otherwise.</w:t>
      </w:r>
    </w:p>
  </w:endnote>
  <w:endnote w:id="16">
    <w:p w14:paraId="2700F780" w14:textId="6658D4E7" w:rsidR="00DC771F" w:rsidRDefault="00DC771F">
      <w:pPr>
        <w:pStyle w:val="EndnoteText"/>
      </w:pPr>
      <w:r>
        <w:rPr>
          <w:rStyle w:val="EndnoteReference"/>
        </w:rPr>
        <w:endnoteRef/>
      </w:r>
      <w:r>
        <w:t xml:space="preserve"> </w:t>
      </w:r>
      <w:r>
        <w:rPr>
          <w:i/>
          <w:iCs/>
        </w:rPr>
        <w:t>U.S. v. Frazier</w:t>
      </w:r>
      <w:r>
        <w:t>, 387 F.3d 1244, 1260 (11</w:t>
      </w:r>
      <w:r w:rsidRPr="00E346B7">
        <w:rPr>
          <w:vertAlign w:val="superscript"/>
        </w:rPr>
        <w:t>th</w:t>
      </w:r>
      <w:r>
        <w:t xml:space="preserve"> Cir. 2004), citing </w:t>
      </w:r>
      <w:r>
        <w:rPr>
          <w:i/>
          <w:iCs/>
        </w:rPr>
        <w:t>Kumho Tire Co., Ltd. v. Carmichael</w:t>
      </w:r>
      <w:r>
        <w:t>, 526 U.S. 137, 147 (1999).</w:t>
      </w:r>
    </w:p>
  </w:endnote>
  <w:endnote w:id="17">
    <w:p w14:paraId="0240F899" w14:textId="77777777" w:rsidR="00584275" w:rsidRPr="001A3E2D" w:rsidRDefault="00584275" w:rsidP="00584275">
      <w:pPr>
        <w:pStyle w:val="EndnoteText"/>
      </w:pPr>
      <w:r>
        <w:rPr>
          <w:rStyle w:val="EndnoteReference"/>
        </w:rPr>
        <w:endnoteRef/>
      </w:r>
      <w:r>
        <w:t xml:space="preserve"> </w:t>
      </w:r>
      <w:r>
        <w:rPr>
          <w:i/>
          <w:iCs/>
        </w:rPr>
        <w:t>U.S. v. Barton</w:t>
      </w:r>
      <w:r>
        <w:t>, 909 F.3d 1323, 1333 (11</w:t>
      </w:r>
      <w:r w:rsidRPr="0018092B">
        <w:rPr>
          <w:vertAlign w:val="superscript"/>
        </w:rPr>
        <w:t>th</w:t>
      </w:r>
      <w:r>
        <w:t xml:space="preserve"> Cir. 2018).</w:t>
      </w:r>
    </w:p>
  </w:endnote>
  <w:endnote w:id="18">
    <w:p w14:paraId="118DB04B" w14:textId="77777777" w:rsidR="00584275" w:rsidRPr="00384F2F" w:rsidRDefault="00584275" w:rsidP="00584275">
      <w:pPr>
        <w:pStyle w:val="EndnoteText"/>
      </w:pPr>
      <w:r>
        <w:rPr>
          <w:rStyle w:val="EndnoteReference"/>
        </w:rPr>
        <w:endnoteRef/>
      </w:r>
      <w:r>
        <w:t xml:space="preserve"> </w:t>
      </w:r>
      <w:r>
        <w:rPr>
          <w:i/>
          <w:iCs/>
        </w:rPr>
        <w:t>U.S. v. Barton</w:t>
      </w:r>
      <w:r>
        <w:t>, 909 F.3d 1323, 1333 (11</w:t>
      </w:r>
      <w:r w:rsidRPr="0018092B">
        <w:rPr>
          <w:vertAlign w:val="superscript"/>
        </w:rPr>
        <w:t>th</w:t>
      </w:r>
      <w:r>
        <w:t xml:space="preserve"> Cir. 2018), citing </w:t>
      </w:r>
      <w:r>
        <w:rPr>
          <w:i/>
          <w:iCs/>
        </w:rPr>
        <w:t>Rosenfeld v. Oceania Cruises, Inc.</w:t>
      </w:r>
      <w:r>
        <w:t>, 654 F.3d 1190, 1193 (11</w:t>
      </w:r>
      <w:r w:rsidRPr="00384F2F">
        <w:rPr>
          <w:vertAlign w:val="superscript"/>
        </w:rPr>
        <w:t>th</w:t>
      </w:r>
      <w:r>
        <w:t xml:space="preserve"> Cir. 2011); </w:t>
      </w:r>
      <w:r>
        <w:rPr>
          <w:i/>
          <w:iCs/>
        </w:rPr>
        <w:t>Adams v. Laboratory Corp. of America</w:t>
      </w:r>
      <w:r>
        <w:t>, 760 F.3d 1322, 1334 (11</w:t>
      </w:r>
      <w:r w:rsidRPr="0018092B">
        <w:rPr>
          <w:vertAlign w:val="superscript"/>
        </w:rPr>
        <w:t>th</w:t>
      </w:r>
      <w:r>
        <w:t xml:space="preserve"> Cir. 2014).</w:t>
      </w:r>
    </w:p>
  </w:endnote>
  <w:endnote w:id="19">
    <w:p w14:paraId="03B0F542" w14:textId="77777777" w:rsidR="00584275" w:rsidRDefault="00584275" w:rsidP="00584275">
      <w:pPr>
        <w:pStyle w:val="EndnoteText"/>
      </w:pPr>
      <w:r>
        <w:rPr>
          <w:rStyle w:val="EndnoteReference"/>
        </w:rPr>
        <w:endnoteRef/>
      </w:r>
      <w:r>
        <w:t xml:space="preserve"> </w:t>
      </w:r>
      <w:r>
        <w:rPr>
          <w:i/>
          <w:iCs/>
        </w:rPr>
        <w:t>U.S. v. Barton</w:t>
      </w:r>
      <w:r>
        <w:t>, 909 F.3d 1323, 1333 (11</w:t>
      </w:r>
      <w:r w:rsidRPr="0018092B">
        <w:rPr>
          <w:vertAlign w:val="superscript"/>
        </w:rPr>
        <w:t>th</w:t>
      </w:r>
      <w:r>
        <w:t xml:space="preserve"> Cir. 2018), citing </w:t>
      </w:r>
      <w:r>
        <w:rPr>
          <w:i/>
          <w:iCs/>
        </w:rPr>
        <w:t>Quiet-Tech. DC-8, Inc. v. Hurel-Dubois UK Ltd.,</w:t>
      </w:r>
      <w:r>
        <w:t xml:space="preserve"> 326 F.3d 1333, 1341 (11</w:t>
      </w:r>
      <w:r w:rsidRPr="009B5A0D">
        <w:rPr>
          <w:vertAlign w:val="superscript"/>
        </w:rPr>
        <w:t>th</w:t>
      </w:r>
      <w:r>
        <w:t xml:space="preserve"> Cir. 2003).</w:t>
      </w:r>
    </w:p>
  </w:endnote>
  <w:endnote w:id="20">
    <w:p w14:paraId="36BD9E73" w14:textId="77777777" w:rsidR="00584275" w:rsidRDefault="00584275" w:rsidP="00584275">
      <w:pPr>
        <w:pStyle w:val="EndnoteText"/>
      </w:pPr>
      <w:r>
        <w:rPr>
          <w:rStyle w:val="EndnoteReference"/>
        </w:rPr>
        <w:endnoteRef/>
      </w:r>
      <w:r>
        <w:t xml:space="preserve"> </w:t>
      </w:r>
      <w:r>
        <w:rPr>
          <w:i/>
          <w:iCs/>
        </w:rPr>
        <w:t>U.S. v. Barton</w:t>
      </w:r>
      <w:r>
        <w:t>, 909 F.3d 1323, 1333 (11</w:t>
      </w:r>
      <w:r w:rsidRPr="0018092B">
        <w:rPr>
          <w:vertAlign w:val="superscript"/>
        </w:rPr>
        <w:t>th</w:t>
      </w:r>
      <w:r>
        <w:t xml:space="preserve"> Cir. 2018).</w:t>
      </w:r>
    </w:p>
  </w:endnote>
  <w:endnote w:id="21">
    <w:p w14:paraId="65568487" w14:textId="77777777" w:rsidR="007E402B" w:rsidRDefault="007E402B" w:rsidP="007E402B">
      <w:pPr>
        <w:pStyle w:val="EndnoteText"/>
      </w:pPr>
      <w:r>
        <w:rPr>
          <w:rStyle w:val="EndnoteReference"/>
        </w:rPr>
        <w:endnoteRef/>
      </w:r>
      <w:r>
        <w:t xml:space="preserve"> </w:t>
      </w:r>
      <w:r>
        <w:rPr>
          <w:i/>
        </w:rPr>
        <w:t>Mitchell v. State</w:t>
      </w:r>
      <w:r>
        <w:t>, 301 Ga. 563, 565-566 (2017),</w:t>
      </w:r>
      <w:r w:rsidRPr="002501B0">
        <w:t xml:space="preserve"> </w:t>
      </w:r>
      <w:r>
        <w:t xml:space="preserve">overruled on other grounds by </w:t>
      </w:r>
      <w:r>
        <w:rPr>
          <w:i/>
          <w:iCs/>
        </w:rPr>
        <w:t>State v. Turnquest</w:t>
      </w:r>
      <w:r>
        <w:t xml:space="preserve">, 305 Ga. 758, n. 15 (2019), citing </w:t>
      </w:r>
      <w:r>
        <w:rPr>
          <w:i/>
        </w:rPr>
        <w:t>Stewart v. State</w:t>
      </w:r>
      <w:r>
        <w:t xml:space="preserve">, 280 Ga. App. 366 (2006) and </w:t>
      </w:r>
      <w:r>
        <w:rPr>
          <w:i/>
        </w:rPr>
        <w:t>Hawkins v. State</w:t>
      </w:r>
      <w:r>
        <w:t>, 223 Ga. App. 34, 36 (1996).</w:t>
      </w:r>
    </w:p>
  </w:endnote>
  <w:endnote w:id="22">
    <w:p w14:paraId="43270B35" w14:textId="77777777" w:rsidR="007E402B" w:rsidRPr="00147EFA" w:rsidRDefault="007E402B" w:rsidP="007E402B">
      <w:pPr>
        <w:pStyle w:val="EndnoteText"/>
        <w:rPr>
          <w:i/>
          <w:iCs/>
        </w:rPr>
      </w:pPr>
      <w:r>
        <w:rPr>
          <w:rStyle w:val="EndnoteReference"/>
        </w:rPr>
        <w:endnoteRef/>
      </w:r>
      <w:r>
        <w:t xml:space="preserve"> </w:t>
      </w:r>
      <w:r>
        <w:rPr>
          <w:i/>
          <w:iCs/>
        </w:rPr>
        <w:t>U.S. v. Nguyen</w:t>
      </w:r>
      <w:r>
        <w:t xml:space="preserve">, 75 Fed. R. Evid. Serv. 1018 (2008), citing </w:t>
      </w:r>
      <w:r>
        <w:rPr>
          <w:i/>
          <w:iCs/>
        </w:rPr>
        <w:t>U.S. v. Horn</w:t>
      </w:r>
      <w:r>
        <w:t>, 185 F.Supp.2d 530, 558 (D.Md. 2002).</w:t>
      </w:r>
    </w:p>
  </w:endnote>
  <w:endnote w:id="23">
    <w:p w14:paraId="4BE5BF3A" w14:textId="77777777" w:rsidR="007E402B" w:rsidRPr="00F9061A" w:rsidRDefault="007E402B" w:rsidP="007E402B">
      <w:pPr>
        <w:pStyle w:val="EndnoteText"/>
      </w:pPr>
      <w:r>
        <w:rPr>
          <w:rStyle w:val="EndnoteReference"/>
        </w:rPr>
        <w:endnoteRef/>
      </w:r>
      <w:r>
        <w:t xml:space="preserve"> </w:t>
      </w:r>
      <w:r>
        <w:rPr>
          <w:i/>
          <w:iCs/>
        </w:rPr>
        <w:t>U.S. v. Nguyen</w:t>
      </w:r>
      <w:r>
        <w:t xml:space="preserve">, 75 Fed. R. Evid. Serv. 1018 (2008), citing </w:t>
      </w:r>
      <w:r>
        <w:rPr>
          <w:i/>
          <w:iCs/>
        </w:rPr>
        <w:t>U.S. v. Horn</w:t>
      </w:r>
      <w:r>
        <w:t xml:space="preserve">, 185 F.Supp.2d 530, 559 (D.Md. 2002); </w:t>
      </w:r>
      <w:r>
        <w:rPr>
          <w:i/>
          <w:iCs/>
        </w:rPr>
        <w:t>U.S. v. Daras</w:t>
      </w:r>
      <w:r>
        <w:t>, 1998 U.S.App. LEXIS 26552, *7-*8 (4</w:t>
      </w:r>
      <w:r w:rsidRPr="00F9061A">
        <w:rPr>
          <w:vertAlign w:val="superscript"/>
        </w:rPr>
        <w:t>th</w:t>
      </w:r>
      <w:r>
        <w:t xml:space="preserve"> Cir. 1998)</w:t>
      </w:r>
    </w:p>
  </w:endnote>
  <w:endnote w:id="24">
    <w:p w14:paraId="47E5FF25" w14:textId="77777777" w:rsidR="007E402B" w:rsidRPr="00606C02" w:rsidRDefault="007E402B" w:rsidP="007E402B">
      <w:pPr>
        <w:pStyle w:val="EndnoteText"/>
      </w:pPr>
      <w:r>
        <w:rPr>
          <w:rStyle w:val="EndnoteReference"/>
        </w:rPr>
        <w:endnoteRef/>
      </w:r>
      <w:r>
        <w:t xml:space="preserve"> </w:t>
      </w:r>
      <w:r>
        <w:rPr>
          <w:i/>
        </w:rPr>
        <w:t>State v. Smith</w:t>
      </w:r>
      <w:r>
        <w:t xml:space="preserve">, 329 Ga. App. 646, 649 (2014), citing </w:t>
      </w:r>
      <w:r>
        <w:rPr>
          <w:i/>
        </w:rPr>
        <w:t>State v. Pastorini</w:t>
      </w:r>
      <w:r>
        <w:t xml:space="preserve">, 222 Ga. App. 316-318-319 (1996), overruled by </w:t>
      </w:r>
      <w:r>
        <w:rPr>
          <w:i/>
          <w:iCs/>
        </w:rPr>
        <w:t>State v. Turnquest</w:t>
      </w:r>
      <w:r>
        <w:t>, 305 Ga. 758, n. 15 (2019).</w:t>
      </w:r>
    </w:p>
  </w:endnote>
  <w:endnote w:id="25">
    <w:p w14:paraId="64D07593" w14:textId="77777777" w:rsidR="00D22B3C" w:rsidRDefault="00D22B3C" w:rsidP="00D22B3C">
      <w:pPr>
        <w:pStyle w:val="EndnoteText"/>
      </w:pPr>
      <w:r>
        <w:rPr>
          <w:rStyle w:val="EndnoteReference"/>
        </w:rPr>
        <w:endnoteRef/>
      </w:r>
      <w:r>
        <w:t xml:space="preserve"> </w:t>
      </w:r>
      <w:r>
        <w:rPr>
          <w:i/>
          <w:iCs/>
        </w:rPr>
        <w:t>U.S. v. Nguyen</w:t>
      </w:r>
      <w:r>
        <w:t xml:space="preserve">, 75 Fed. R. Evid. Serv. 1018 (2008), citing </w:t>
      </w:r>
      <w:r>
        <w:rPr>
          <w:i/>
          <w:iCs/>
        </w:rPr>
        <w:t>U.S. v. Horn</w:t>
      </w:r>
      <w:r>
        <w:t xml:space="preserve">, 185 F.Supp.2d 530, 555 &amp; n. 43 (D.Md. 2002) and </w:t>
      </w:r>
      <w:r>
        <w:rPr>
          <w:i/>
          <w:iCs/>
        </w:rPr>
        <w:t>U.S. v. Van Hazel</w:t>
      </w:r>
      <w:r>
        <w:t>, 468 F.Supp.2d 792, 797 (W.D.N.C. 2006).</w:t>
      </w:r>
    </w:p>
  </w:endnote>
  <w:endnote w:id="26">
    <w:p w14:paraId="2C3B6BFC" w14:textId="77777777" w:rsidR="00D22B3C" w:rsidRDefault="00D22B3C" w:rsidP="00D22B3C">
      <w:pPr>
        <w:pStyle w:val="EndnoteText"/>
      </w:pPr>
      <w:r>
        <w:rPr>
          <w:rStyle w:val="EndnoteReference"/>
        </w:rPr>
        <w:endnoteRef/>
      </w:r>
      <w:r>
        <w:t xml:space="preserve"> </w:t>
      </w:r>
      <w:r>
        <w:rPr>
          <w:i/>
          <w:iCs/>
        </w:rPr>
        <w:t>U.S. v. Nguyen</w:t>
      </w:r>
      <w:r>
        <w:t>, 75 Fed. R. Evid. Serv. 1018, *13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02E" w14:textId="77777777" w:rsidR="0003068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1D70" w14:textId="1EE6A11B" w:rsidR="003D0F81" w:rsidRDefault="00243C96" w:rsidP="00C527D7">
    <w:pPr>
      <w:pStyle w:val="Footer"/>
      <w:tabs>
        <w:tab w:val="clear" w:pos="4680"/>
        <w:tab w:val="clear" w:pos="9360"/>
      </w:tabs>
      <w:jc w:val="center"/>
      <w:rPr>
        <w:b/>
        <w:bCs/>
        <w:sz w:val="20"/>
        <w:szCs w:val="20"/>
      </w:rPr>
    </w:pPr>
    <w:r>
      <w:rPr>
        <w:b/>
        <w:bCs/>
        <w:i/>
        <w:iCs/>
        <w:sz w:val="20"/>
        <w:szCs w:val="20"/>
      </w:rPr>
      <w:t>DAUBERT</w:t>
    </w:r>
    <w:r>
      <w:rPr>
        <w:b/>
        <w:bCs/>
        <w:sz w:val="20"/>
        <w:szCs w:val="20"/>
      </w:rPr>
      <w:t xml:space="preserve"> IN CRIMINAL CASES</w:t>
    </w:r>
    <w:r w:rsidR="001B3891">
      <w:rPr>
        <w:b/>
        <w:bCs/>
        <w:sz w:val="20"/>
        <w:szCs w:val="20"/>
      </w:rPr>
      <w:t xml:space="preserve"> - </w:t>
    </w:r>
    <w:r w:rsidR="001562CC">
      <w:rPr>
        <w:b/>
        <w:bCs/>
        <w:sz w:val="20"/>
        <w:szCs w:val="20"/>
      </w:rPr>
      <w:t xml:space="preserve"> EPISODE NOTES</w:t>
    </w:r>
  </w:p>
  <w:p w14:paraId="553C4CDE" w14:textId="58B5BE3C" w:rsidR="003D0F81" w:rsidRPr="00DB0007" w:rsidRDefault="001562CC" w:rsidP="00C527D7">
    <w:pPr>
      <w:pStyle w:val="Footer"/>
      <w:tabs>
        <w:tab w:val="clear" w:pos="4680"/>
        <w:tab w:val="clear" w:pos="9360"/>
      </w:tabs>
      <w:jc w:val="center"/>
      <w:rPr>
        <w:b/>
        <w:bCs/>
        <w:sz w:val="20"/>
        <w:szCs w:val="20"/>
      </w:rPr>
    </w:pPr>
    <w:r>
      <w:rPr>
        <w:b/>
        <w:bCs/>
        <w:sz w:val="20"/>
        <w:szCs w:val="20"/>
      </w:rPr>
      <w:t xml:space="preserve">RECORDED </w:t>
    </w:r>
    <w:r w:rsidR="00A352EC">
      <w:rPr>
        <w:b/>
        <w:bCs/>
        <w:sz w:val="20"/>
        <w:szCs w:val="20"/>
      </w:rPr>
      <w:t>2/3/2023</w:t>
    </w:r>
  </w:p>
  <w:p w14:paraId="055DD22B" w14:textId="77777777" w:rsidR="003D0F81" w:rsidRDefault="001562CC"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7B547636" w14:textId="77777777" w:rsidR="003D0F8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46EC" w14:textId="77777777" w:rsidR="0003068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F5C5" w14:textId="77777777" w:rsidR="002D6EBA" w:rsidRDefault="002D6EBA" w:rsidP="00A52F35">
      <w:pPr>
        <w:spacing w:line="240" w:lineRule="auto"/>
      </w:pPr>
      <w:r>
        <w:separator/>
      </w:r>
    </w:p>
  </w:footnote>
  <w:footnote w:type="continuationSeparator" w:id="0">
    <w:p w14:paraId="48ED37EF" w14:textId="77777777" w:rsidR="002D6EBA" w:rsidRDefault="002D6EBA" w:rsidP="00A52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0C37" w14:textId="77777777" w:rsidR="0003068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7168" w14:textId="77777777" w:rsidR="0003068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831" w14:textId="77777777" w:rsidR="0003068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4814" style="width:0;height:1.5pt" o:hralign="center" o:bullet="t" o:hrstd="t" o:hr="t" fillcolor="#a0a0a0" stroked="f"/>
    </w:pict>
  </w:numPicBullet>
  <w:numPicBullet w:numPicBulletId="1">
    <w:pict>
      <v:rect id="_x0000_i4815" style="width:0;height:1.5pt" o:hralign="center" o:bullet="t" o:hrstd="t" o:hr="t" fillcolor="#a0a0a0" stroked="f"/>
    </w:pict>
  </w:numPicBullet>
  <w:numPicBullet w:numPicBulletId="2">
    <w:pict>
      <v:rect id="_x0000_i4816" style="width:0;height:1.5pt" o:hralign="center" o:bullet="t" o:hrstd="t" o:hr="t" fillcolor="#a0a0a0" stroked="f"/>
    </w:pict>
  </w:numPicBullet>
  <w:numPicBullet w:numPicBulletId="3">
    <w:pict>
      <v:rect id="_x0000_i4817" style="width:0;height:1.5pt" o:hralign="center" o:bullet="t" o:hrstd="t" o:hr="t" fillcolor="#a0a0a0" stroked="f"/>
    </w:pict>
  </w:numPicBullet>
  <w:numPicBullet w:numPicBulletId="4">
    <w:pict>
      <v:rect id="_x0000_i4818" style="width:0;height:1.5pt" o:hralign="center" o:bullet="t" o:hrstd="t" o:hr="t" fillcolor="#a0a0a0" stroked="f"/>
    </w:pict>
  </w:numPicBullet>
  <w:numPicBullet w:numPicBulletId="5">
    <w:pict>
      <v:rect id="_x0000_i4819" style="width:0;height:1.5pt" o:hralign="center" o:bullet="t" o:hrstd="t" o:hr="t" fillcolor="#a0a0a0" stroked="f"/>
    </w:pict>
  </w:numPicBullet>
  <w:abstractNum w:abstractNumId="0" w15:restartNumberingAfterBreak="0">
    <w:nsid w:val="0CA12C44"/>
    <w:multiLevelType w:val="hybridMultilevel"/>
    <w:tmpl w:val="579C526C"/>
    <w:lvl w:ilvl="0" w:tplc="75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51378"/>
    <w:multiLevelType w:val="hybridMultilevel"/>
    <w:tmpl w:val="E52E9484"/>
    <w:lvl w:ilvl="0" w:tplc="E452A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FC1DD5"/>
    <w:multiLevelType w:val="hybridMultilevel"/>
    <w:tmpl w:val="31166ADA"/>
    <w:lvl w:ilvl="0" w:tplc="483EFB1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505A4"/>
    <w:multiLevelType w:val="hybridMultilevel"/>
    <w:tmpl w:val="371A4E50"/>
    <w:lvl w:ilvl="0" w:tplc="AB36AB6A">
      <w:start w:val="1"/>
      <w:numFmt w:val="bullet"/>
      <w:lvlText w:val=""/>
      <w:lvlPicBulletId w:val="2"/>
      <w:lvlJc w:val="left"/>
      <w:pPr>
        <w:tabs>
          <w:tab w:val="num" w:pos="720"/>
        </w:tabs>
        <w:ind w:left="720" w:hanging="360"/>
      </w:pPr>
      <w:rPr>
        <w:rFonts w:ascii="Symbol" w:hAnsi="Symbol" w:hint="default"/>
      </w:rPr>
    </w:lvl>
    <w:lvl w:ilvl="1" w:tplc="AFA629E8" w:tentative="1">
      <w:start w:val="1"/>
      <w:numFmt w:val="bullet"/>
      <w:lvlText w:val=""/>
      <w:lvlJc w:val="left"/>
      <w:pPr>
        <w:tabs>
          <w:tab w:val="num" w:pos="1440"/>
        </w:tabs>
        <w:ind w:left="1440" w:hanging="360"/>
      </w:pPr>
      <w:rPr>
        <w:rFonts w:ascii="Symbol" w:hAnsi="Symbol" w:hint="default"/>
      </w:rPr>
    </w:lvl>
    <w:lvl w:ilvl="2" w:tplc="1D12A5BE" w:tentative="1">
      <w:start w:val="1"/>
      <w:numFmt w:val="bullet"/>
      <w:lvlText w:val=""/>
      <w:lvlJc w:val="left"/>
      <w:pPr>
        <w:tabs>
          <w:tab w:val="num" w:pos="2160"/>
        </w:tabs>
        <w:ind w:left="2160" w:hanging="360"/>
      </w:pPr>
      <w:rPr>
        <w:rFonts w:ascii="Symbol" w:hAnsi="Symbol" w:hint="default"/>
      </w:rPr>
    </w:lvl>
    <w:lvl w:ilvl="3" w:tplc="D842E392" w:tentative="1">
      <w:start w:val="1"/>
      <w:numFmt w:val="bullet"/>
      <w:lvlText w:val=""/>
      <w:lvlJc w:val="left"/>
      <w:pPr>
        <w:tabs>
          <w:tab w:val="num" w:pos="2880"/>
        </w:tabs>
        <w:ind w:left="2880" w:hanging="360"/>
      </w:pPr>
      <w:rPr>
        <w:rFonts w:ascii="Symbol" w:hAnsi="Symbol" w:hint="default"/>
      </w:rPr>
    </w:lvl>
    <w:lvl w:ilvl="4" w:tplc="DB1A02C4" w:tentative="1">
      <w:start w:val="1"/>
      <w:numFmt w:val="bullet"/>
      <w:lvlText w:val=""/>
      <w:lvlJc w:val="left"/>
      <w:pPr>
        <w:tabs>
          <w:tab w:val="num" w:pos="3600"/>
        </w:tabs>
        <w:ind w:left="3600" w:hanging="360"/>
      </w:pPr>
      <w:rPr>
        <w:rFonts w:ascii="Symbol" w:hAnsi="Symbol" w:hint="default"/>
      </w:rPr>
    </w:lvl>
    <w:lvl w:ilvl="5" w:tplc="906A9F06" w:tentative="1">
      <w:start w:val="1"/>
      <w:numFmt w:val="bullet"/>
      <w:lvlText w:val=""/>
      <w:lvlJc w:val="left"/>
      <w:pPr>
        <w:tabs>
          <w:tab w:val="num" w:pos="4320"/>
        </w:tabs>
        <w:ind w:left="4320" w:hanging="360"/>
      </w:pPr>
      <w:rPr>
        <w:rFonts w:ascii="Symbol" w:hAnsi="Symbol" w:hint="default"/>
      </w:rPr>
    </w:lvl>
    <w:lvl w:ilvl="6" w:tplc="27AEC86E" w:tentative="1">
      <w:start w:val="1"/>
      <w:numFmt w:val="bullet"/>
      <w:lvlText w:val=""/>
      <w:lvlJc w:val="left"/>
      <w:pPr>
        <w:tabs>
          <w:tab w:val="num" w:pos="5040"/>
        </w:tabs>
        <w:ind w:left="5040" w:hanging="360"/>
      </w:pPr>
      <w:rPr>
        <w:rFonts w:ascii="Symbol" w:hAnsi="Symbol" w:hint="default"/>
      </w:rPr>
    </w:lvl>
    <w:lvl w:ilvl="7" w:tplc="D0BC3792" w:tentative="1">
      <w:start w:val="1"/>
      <w:numFmt w:val="bullet"/>
      <w:lvlText w:val=""/>
      <w:lvlJc w:val="left"/>
      <w:pPr>
        <w:tabs>
          <w:tab w:val="num" w:pos="5760"/>
        </w:tabs>
        <w:ind w:left="5760" w:hanging="360"/>
      </w:pPr>
      <w:rPr>
        <w:rFonts w:ascii="Symbol" w:hAnsi="Symbol" w:hint="default"/>
      </w:rPr>
    </w:lvl>
    <w:lvl w:ilvl="8" w:tplc="3D52035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E8D7217"/>
    <w:multiLevelType w:val="hybridMultilevel"/>
    <w:tmpl w:val="C9C4DCE2"/>
    <w:lvl w:ilvl="0" w:tplc="7AF80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074E6"/>
    <w:multiLevelType w:val="hybridMultilevel"/>
    <w:tmpl w:val="F36AE656"/>
    <w:lvl w:ilvl="0" w:tplc="2898B870">
      <w:start w:val="1"/>
      <w:numFmt w:val="bullet"/>
      <w:lvlText w:val=""/>
      <w:lvlPicBulletId w:val="4"/>
      <w:lvlJc w:val="left"/>
      <w:pPr>
        <w:tabs>
          <w:tab w:val="num" w:pos="720"/>
        </w:tabs>
        <w:ind w:left="720" w:hanging="360"/>
      </w:pPr>
      <w:rPr>
        <w:rFonts w:ascii="Symbol" w:hAnsi="Symbol" w:hint="default"/>
      </w:rPr>
    </w:lvl>
    <w:lvl w:ilvl="1" w:tplc="17BE40EC" w:tentative="1">
      <w:start w:val="1"/>
      <w:numFmt w:val="bullet"/>
      <w:lvlText w:val=""/>
      <w:lvlJc w:val="left"/>
      <w:pPr>
        <w:tabs>
          <w:tab w:val="num" w:pos="1440"/>
        </w:tabs>
        <w:ind w:left="1440" w:hanging="360"/>
      </w:pPr>
      <w:rPr>
        <w:rFonts w:ascii="Symbol" w:hAnsi="Symbol" w:hint="default"/>
      </w:rPr>
    </w:lvl>
    <w:lvl w:ilvl="2" w:tplc="13840F30" w:tentative="1">
      <w:start w:val="1"/>
      <w:numFmt w:val="bullet"/>
      <w:lvlText w:val=""/>
      <w:lvlJc w:val="left"/>
      <w:pPr>
        <w:tabs>
          <w:tab w:val="num" w:pos="2160"/>
        </w:tabs>
        <w:ind w:left="2160" w:hanging="360"/>
      </w:pPr>
      <w:rPr>
        <w:rFonts w:ascii="Symbol" w:hAnsi="Symbol" w:hint="default"/>
      </w:rPr>
    </w:lvl>
    <w:lvl w:ilvl="3" w:tplc="EA0C6224" w:tentative="1">
      <w:start w:val="1"/>
      <w:numFmt w:val="bullet"/>
      <w:lvlText w:val=""/>
      <w:lvlJc w:val="left"/>
      <w:pPr>
        <w:tabs>
          <w:tab w:val="num" w:pos="2880"/>
        </w:tabs>
        <w:ind w:left="2880" w:hanging="360"/>
      </w:pPr>
      <w:rPr>
        <w:rFonts w:ascii="Symbol" w:hAnsi="Symbol" w:hint="default"/>
      </w:rPr>
    </w:lvl>
    <w:lvl w:ilvl="4" w:tplc="975ADA1C" w:tentative="1">
      <w:start w:val="1"/>
      <w:numFmt w:val="bullet"/>
      <w:lvlText w:val=""/>
      <w:lvlJc w:val="left"/>
      <w:pPr>
        <w:tabs>
          <w:tab w:val="num" w:pos="3600"/>
        </w:tabs>
        <w:ind w:left="3600" w:hanging="360"/>
      </w:pPr>
      <w:rPr>
        <w:rFonts w:ascii="Symbol" w:hAnsi="Symbol" w:hint="default"/>
      </w:rPr>
    </w:lvl>
    <w:lvl w:ilvl="5" w:tplc="10561448" w:tentative="1">
      <w:start w:val="1"/>
      <w:numFmt w:val="bullet"/>
      <w:lvlText w:val=""/>
      <w:lvlJc w:val="left"/>
      <w:pPr>
        <w:tabs>
          <w:tab w:val="num" w:pos="4320"/>
        </w:tabs>
        <w:ind w:left="4320" w:hanging="360"/>
      </w:pPr>
      <w:rPr>
        <w:rFonts w:ascii="Symbol" w:hAnsi="Symbol" w:hint="default"/>
      </w:rPr>
    </w:lvl>
    <w:lvl w:ilvl="6" w:tplc="76949AE6" w:tentative="1">
      <w:start w:val="1"/>
      <w:numFmt w:val="bullet"/>
      <w:lvlText w:val=""/>
      <w:lvlJc w:val="left"/>
      <w:pPr>
        <w:tabs>
          <w:tab w:val="num" w:pos="5040"/>
        </w:tabs>
        <w:ind w:left="5040" w:hanging="360"/>
      </w:pPr>
      <w:rPr>
        <w:rFonts w:ascii="Symbol" w:hAnsi="Symbol" w:hint="default"/>
      </w:rPr>
    </w:lvl>
    <w:lvl w:ilvl="7" w:tplc="E0CC84A2" w:tentative="1">
      <w:start w:val="1"/>
      <w:numFmt w:val="bullet"/>
      <w:lvlText w:val=""/>
      <w:lvlJc w:val="left"/>
      <w:pPr>
        <w:tabs>
          <w:tab w:val="num" w:pos="5760"/>
        </w:tabs>
        <w:ind w:left="5760" w:hanging="360"/>
      </w:pPr>
      <w:rPr>
        <w:rFonts w:ascii="Symbol" w:hAnsi="Symbol" w:hint="default"/>
      </w:rPr>
    </w:lvl>
    <w:lvl w:ilvl="8" w:tplc="D56E65C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DE01621"/>
    <w:multiLevelType w:val="hybridMultilevel"/>
    <w:tmpl w:val="300210E6"/>
    <w:lvl w:ilvl="0" w:tplc="B368367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0C7082"/>
    <w:multiLevelType w:val="hybridMultilevel"/>
    <w:tmpl w:val="3E046ABA"/>
    <w:lvl w:ilvl="0" w:tplc="4EB6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9850FF"/>
    <w:multiLevelType w:val="hybridMultilevel"/>
    <w:tmpl w:val="B1F44934"/>
    <w:lvl w:ilvl="0" w:tplc="22B6F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177683"/>
    <w:multiLevelType w:val="multilevel"/>
    <w:tmpl w:val="CBB6B62E"/>
    <w:lvl w:ilvl="0">
      <w:start w:val="1"/>
      <w:numFmt w:val="upperRoman"/>
      <w:lvlText w:val="Section %1:"/>
      <w:lvlJc w:val="left"/>
      <w:pPr>
        <w:ind w:left="720" w:hanging="720"/>
      </w:pPr>
      <w:rPr>
        <w:rFonts w:ascii="Times New Roman Bold" w:hAnsi="Times New Roman Bold" w:hint="default"/>
        <w:b/>
        <w:i w:val="0"/>
        <w:color w:val="auto"/>
        <w:sz w:val="32"/>
        <w:szCs w:val="24"/>
      </w:rPr>
    </w:lvl>
    <w:lvl w:ilvl="1">
      <w:start w:val="1"/>
      <w:numFmt w:val="decimal"/>
      <w:lvlText w:val="%2)"/>
      <w:lvlJc w:val="right"/>
      <w:pPr>
        <w:ind w:left="720" w:hanging="432"/>
      </w:pPr>
      <w:rPr>
        <w:rFonts w:ascii="Times New Roman Bold" w:hAnsi="Times New Roman Bold" w:cs="Arial" w:hint="default"/>
        <w:b/>
        <w:i w:val="0"/>
        <w:color w:val="auto"/>
        <w:sz w:val="28"/>
        <w:szCs w:val="24"/>
        <w:vertAlign w:val="baseline"/>
      </w:rPr>
    </w:lvl>
    <w:lvl w:ilvl="2">
      <w:start w:val="1"/>
      <w:numFmt w:val="lowerLetter"/>
      <w:lvlText w:val="%3)"/>
      <w:lvlJc w:val="right"/>
      <w:pPr>
        <w:ind w:left="1080" w:hanging="360"/>
      </w:pPr>
      <w:rPr>
        <w:rFonts w:ascii="Times New Roman Bold" w:hAnsi="Times New Roman Bold" w:hint="default"/>
        <w:b/>
        <w:i w:val="0"/>
        <w:color w:val="auto"/>
        <w:sz w:val="28"/>
        <w:szCs w:val="24"/>
        <w:vertAlign w:val="baseline"/>
      </w:rPr>
    </w:lvl>
    <w:lvl w:ilvl="3">
      <w:start w:val="1"/>
      <w:numFmt w:val="lowerRoman"/>
      <w:lvlText w:val="(%4)"/>
      <w:lvlJc w:val="right"/>
      <w:pPr>
        <w:ind w:left="1440" w:hanging="360"/>
      </w:pPr>
      <w:rPr>
        <w:rFonts w:ascii="Times New Roman Bold" w:hAnsi="Times New Roman Bold" w:hint="default"/>
        <w:b/>
        <w:i w:val="0"/>
        <w:color w:val="auto"/>
        <w:sz w:val="28"/>
        <w:szCs w:val="24"/>
      </w:rPr>
    </w:lvl>
    <w:lvl w:ilvl="4">
      <w:start w:val="1"/>
      <w:numFmt w:val="decimal"/>
      <w:lvlText w:val="(%5)"/>
      <w:lvlJc w:val="right"/>
      <w:pPr>
        <w:ind w:left="1800" w:hanging="360"/>
      </w:pPr>
      <w:rPr>
        <w:rFonts w:ascii="Times New Roman Bold" w:hAnsi="Times New Roman Bold" w:hint="default"/>
        <w:b/>
        <w:i w:val="0"/>
        <w:color w:val="auto"/>
        <w:sz w:val="28"/>
      </w:rPr>
    </w:lvl>
    <w:lvl w:ilvl="5">
      <w:start w:val="1"/>
      <w:numFmt w:val="upperLetter"/>
      <w:lvlText w:val="(%6)"/>
      <w:lvlJc w:val="right"/>
      <w:pPr>
        <w:ind w:left="2160" w:hanging="360"/>
      </w:pPr>
      <w:rPr>
        <w:rFonts w:ascii="Times New Roman Bold" w:hAnsi="Times New Roman Bold" w:hint="default"/>
        <w:b/>
        <w:i w:val="0"/>
        <w:color w:val="auto"/>
        <w:sz w:val="28"/>
      </w:rPr>
    </w:lvl>
    <w:lvl w:ilvl="6">
      <w:start w:val="1"/>
      <w:numFmt w:val="decimal"/>
      <w:lvlText w:val="%7)"/>
      <w:lvlJc w:val="right"/>
      <w:pPr>
        <w:ind w:left="3240" w:hanging="360"/>
      </w:pPr>
      <w:rPr>
        <w:rFonts w:ascii="Times New Roman Bold" w:hAnsi="Times New Roman Bold" w:cs="Times New Roman" w:hint="default"/>
        <w:b/>
        <w:i w:val="0"/>
        <w:color w:val="auto"/>
        <w:sz w:val="28"/>
      </w:rPr>
    </w:lvl>
    <w:lvl w:ilvl="7">
      <w:start w:val="1"/>
      <w:numFmt w:val="lowerLetter"/>
      <w:lvlText w:val="%8."/>
      <w:lvlJc w:val="left"/>
      <w:pPr>
        <w:ind w:left="3744" w:hanging="432"/>
      </w:pPr>
      <w:rPr>
        <w:rFonts w:hint="default"/>
      </w:rPr>
    </w:lvl>
    <w:lvl w:ilvl="8">
      <w:start w:val="1"/>
      <w:numFmt w:val="lowerRoman"/>
      <w:lvlText w:val="%9."/>
      <w:lvlJc w:val="left"/>
      <w:pPr>
        <w:ind w:left="4176" w:hanging="432"/>
      </w:pPr>
      <w:rPr>
        <w:rFonts w:hint="default"/>
      </w:rPr>
    </w:lvl>
  </w:abstractNum>
  <w:num w:numId="1" w16cid:durableId="737361280">
    <w:abstractNumId w:val="9"/>
  </w:num>
  <w:num w:numId="2" w16cid:durableId="516770339">
    <w:abstractNumId w:val="0"/>
  </w:num>
  <w:num w:numId="3" w16cid:durableId="1672216630">
    <w:abstractNumId w:val="3"/>
  </w:num>
  <w:num w:numId="4" w16cid:durableId="1785076624">
    <w:abstractNumId w:val="7"/>
  </w:num>
  <w:num w:numId="5" w16cid:durableId="36049770">
    <w:abstractNumId w:val="5"/>
  </w:num>
  <w:num w:numId="6" w16cid:durableId="1807384188">
    <w:abstractNumId w:val="2"/>
  </w:num>
  <w:num w:numId="7" w16cid:durableId="1662156200">
    <w:abstractNumId w:val="1"/>
  </w:num>
  <w:num w:numId="8" w16cid:durableId="253443359">
    <w:abstractNumId w:val="8"/>
  </w:num>
  <w:num w:numId="9" w16cid:durableId="1263496201">
    <w:abstractNumId w:val="6"/>
  </w:num>
  <w:num w:numId="10" w16cid:durableId="1364405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D3"/>
    <w:rsid w:val="00001404"/>
    <w:rsid w:val="00024008"/>
    <w:rsid w:val="00036AEB"/>
    <w:rsid w:val="00063AF3"/>
    <w:rsid w:val="00064B18"/>
    <w:rsid w:val="000B3423"/>
    <w:rsid w:val="000C446F"/>
    <w:rsid w:val="000E6545"/>
    <w:rsid w:val="000F1719"/>
    <w:rsid w:val="0010409A"/>
    <w:rsid w:val="00112051"/>
    <w:rsid w:val="001264FC"/>
    <w:rsid w:val="001562CC"/>
    <w:rsid w:val="00156D40"/>
    <w:rsid w:val="00172311"/>
    <w:rsid w:val="001B3891"/>
    <w:rsid w:val="001B5AEF"/>
    <w:rsid w:val="001E223E"/>
    <w:rsid w:val="001E6C37"/>
    <w:rsid w:val="001F7DF7"/>
    <w:rsid w:val="0023015A"/>
    <w:rsid w:val="002358D9"/>
    <w:rsid w:val="00243C96"/>
    <w:rsid w:val="002521F1"/>
    <w:rsid w:val="002708B0"/>
    <w:rsid w:val="002C3EBC"/>
    <w:rsid w:val="002C50A5"/>
    <w:rsid w:val="002C5202"/>
    <w:rsid w:val="002D6EBA"/>
    <w:rsid w:val="002D73D0"/>
    <w:rsid w:val="002E0E05"/>
    <w:rsid w:val="002E356A"/>
    <w:rsid w:val="002F196F"/>
    <w:rsid w:val="00301C63"/>
    <w:rsid w:val="00336E4C"/>
    <w:rsid w:val="003842AF"/>
    <w:rsid w:val="003A43D9"/>
    <w:rsid w:val="00411A06"/>
    <w:rsid w:val="00425248"/>
    <w:rsid w:val="0042615D"/>
    <w:rsid w:val="004409D3"/>
    <w:rsid w:val="00441771"/>
    <w:rsid w:val="00457110"/>
    <w:rsid w:val="00471E6F"/>
    <w:rsid w:val="00495FCA"/>
    <w:rsid w:val="004D2154"/>
    <w:rsid w:val="004D5C04"/>
    <w:rsid w:val="004E3189"/>
    <w:rsid w:val="0052598B"/>
    <w:rsid w:val="00553437"/>
    <w:rsid w:val="00555CD3"/>
    <w:rsid w:val="00562A35"/>
    <w:rsid w:val="00566D78"/>
    <w:rsid w:val="005725FA"/>
    <w:rsid w:val="00573E68"/>
    <w:rsid w:val="00584275"/>
    <w:rsid w:val="005A0657"/>
    <w:rsid w:val="005C1A2B"/>
    <w:rsid w:val="005C3462"/>
    <w:rsid w:val="005D4D9F"/>
    <w:rsid w:val="0061670A"/>
    <w:rsid w:val="00633CCD"/>
    <w:rsid w:val="0064718D"/>
    <w:rsid w:val="006536D1"/>
    <w:rsid w:val="00666DF6"/>
    <w:rsid w:val="00670B4A"/>
    <w:rsid w:val="00674A33"/>
    <w:rsid w:val="006B3477"/>
    <w:rsid w:val="006C1C3B"/>
    <w:rsid w:val="006D64C0"/>
    <w:rsid w:val="006E3884"/>
    <w:rsid w:val="00703656"/>
    <w:rsid w:val="00726683"/>
    <w:rsid w:val="007356DF"/>
    <w:rsid w:val="007969F6"/>
    <w:rsid w:val="007A1271"/>
    <w:rsid w:val="007A5FEE"/>
    <w:rsid w:val="007E21A4"/>
    <w:rsid w:val="007E402B"/>
    <w:rsid w:val="007F7D58"/>
    <w:rsid w:val="008061A2"/>
    <w:rsid w:val="008322F0"/>
    <w:rsid w:val="00837697"/>
    <w:rsid w:val="00865980"/>
    <w:rsid w:val="00866B67"/>
    <w:rsid w:val="00887092"/>
    <w:rsid w:val="00892338"/>
    <w:rsid w:val="00893D39"/>
    <w:rsid w:val="008A352B"/>
    <w:rsid w:val="008A462A"/>
    <w:rsid w:val="008B5B56"/>
    <w:rsid w:val="008E50B7"/>
    <w:rsid w:val="008E5841"/>
    <w:rsid w:val="008F22C8"/>
    <w:rsid w:val="009047D5"/>
    <w:rsid w:val="00914B8B"/>
    <w:rsid w:val="009254B1"/>
    <w:rsid w:val="00934E0A"/>
    <w:rsid w:val="00943E38"/>
    <w:rsid w:val="00945699"/>
    <w:rsid w:val="0098464C"/>
    <w:rsid w:val="00987D3D"/>
    <w:rsid w:val="009B42AB"/>
    <w:rsid w:val="009E786C"/>
    <w:rsid w:val="00A11B17"/>
    <w:rsid w:val="00A11F70"/>
    <w:rsid w:val="00A23CEE"/>
    <w:rsid w:val="00A352EC"/>
    <w:rsid w:val="00A52F35"/>
    <w:rsid w:val="00A57561"/>
    <w:rsid w:val="00A65A34"/>
    <w:rsid w:val="00A66E9C"/>
    <w:rsid w:val="00A978B0"/>
    <w:rsid w:val="00AB332A"/>
    <w:rsid w:val="00AF648B"/>
    <w:rsid w:val="00B0502B"/>
    <w:rsid w:val="00BA53AA"/>
    <w:rsid w:val="00BB4870"/>
    <w:rsid w:val="00BC4399"/>
    <w:rsid w:val="00BE35E7"/>
    <w:rsid w:val="00BE3B09"/>
    <w:rsid w:val="00C06FE0"/>
    <w:rsid w:val="00C136E3"/>
    <w:rsid w:val="00C20D6F"/>
    <w:rsid w:val="00C226FC"/>
    <w:rsid w:val="00C73794"/>
    <w:rsid w:val="00C9333B"/>
    <w:rsid w:val="00C962C0"/>
    <w:rsid w:val="00CA4966"/>
    <w:rsid w:val="00CD1DAD"/>
    <w:rsid w:val="00D023EA"/>
    <w:rsid w:val="00D22B3C"/>
    <w:rsid w:val="00D42E09"/>
    <w:rsid w:val="00D56882"/>
    <w:rsid w:val="00D624B7"/>
    <w:rsid w:val="00D674B8"/>
    <w:rsid w:val="00D67C29"/>
    <w:rsid w:val="00D92D3B"/>
    <w:rsid w:val="00DA2157"/>
    <w:rsid w:val="00DC0AA6"/>
    <w:rsid w:val="00DC24DA"/>
    <w:rsid w:val="00DC7205"/>
    <w:rsid w:val="00DC771F"/>
    <w:rsid w:val="00DD3B5B"/>
    <w:rsid w:val="00DF3FE0"/>
    <w:rsid w:val="00E33651"/>
    <w:rsid w:val="00E40BE2"/>
    <w:rsid w:val="00E761DC"/>
    <w:rsid w:val="00E77BDB"/>
    <w:rsid w:val="00ED08FC"/>
    <w:rsid w:val="00EE63A4"/>
    <w:rsid w:val="00F0409E"/>
    <w:rsid w:val="00F35BC3"/>
    <w:rsid w:val="00F5353B"/>
    <w:rsid w:val="00F62034"/>
    <w:rsid w:val="00F635BA"/>
    <w:rsid w:val="00F70A7D"/>
    <w:rsid w:val="00F80319"/>
    <w:rsid w:val="00F901DB"/>
    <w:rsid w:val="00F937CC"/>
    <w:rsid w:val="00FC4D1C"/>
    <w:rsid w:val="00FD1455"/>
    <w:rsid w:val="00FF1970"/>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0CB"/>
  <w15:chartTrackingRefBased/>
  <w15:docId w15:val="{7CADD9EF-B7C6-4FB7-B26D-FA013D2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9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B17"/>
    <w:pPr>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0"/>
    <w:qFormat/>
    <w:rsid w:val="00FF1970"/>
    <w:pPr>
      <w:spacing w:after="120"/>
      <w:ind w:left="432" w:hanging="432"/>
    </w:pPr>
    <w:rPr>
      <w:szCs w:val="20"/>
    </w:rPr>
  </w:style>
  <w:style w:type="character" w:customStyle="1" w:styleId="EndnoteTextChar">
    <w:name w:val="Endnote Text Char"/>
    <w:basedOn w:val="DefaultParagraphFont"/>
    <w:link w:val="EndnoteText"/>
    <w:uiPriority w:val="90"/>
    <w:rsid w:val="00FF1970"/>
    <w:rPr>
      <w:rFonts w:ascii="Times New Roman" w:hAnsi="Times New Roman"/>
      <w:sz w:val="24"/>
      <w:szCs w:val="20"/>
    </w:rPr>
  </w:style>
  <w:style w:type="character" w:styleId="EndnoteReference">
    <w:name w:val="endnote reference"/>
    <w:basedOn w:val="DefaultParagraphFont"/>
    <w:unhideWhenUsed/>
    <w:qFormat/>
    <w:rsid w:val="008A462A"/>
    <w:rPr>
      <w:rFonts w:ascii="Times New Roman Bold" w:hAnsi="Times New Roman Bold"/>
      <w:b/>
      <w:color w:val="auto"/>
      <w:sz w:val="28"/>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character" w:styleId="FootnoteReference">
    <w:name w:val="footnote reference"/>
    <w:basedOn w:val="DefaultParagraphFont"/>
    <w:uiPriority w:val="99"/>
    <w:semiHidden/>
    <w:unhideWhenUsed/>
    <w:rsid w:val="008F22C8"/>
    <w:rPr>
      <w:rFonts w:ascii="Times New Roman" w:hAnsi="Times New Roman"/>
      <w:b/>
      <w:sz w:val="24"/>
      <w:vertAlign w:val="superscript"/>
    </w:rPr>
  </w:style>
  <w:style w:type="paragraph" w:styleId="Header">
    <w:name w:val="header"/>
    <w:basedOn w:val="Normal"/>
    <w:link w:val="HeaderChar"/>
    <w:uiPriority w:val="99"/>
    <w:unhideWhenUsed/>
    <w:rsid w:val="00555CD3"/>
    <w:pPr>
      <w:tabs>
        <w:tab w:val="center" w:pos="4680"/>
        <w:tab w:val="right" w:pos="9360"/>
      </w:tabs>
      <w:spacing w:line="240" w:lineRule="auto"/>
    </w:pPr>
    <w:rPr>
      <w:sz w:val="22"/>
      <w:szCs w:val="22"/>
    </w:rPr>
  </w:style>
  <w:style w:type="character" w:customStyle="1" w:styleId="HeaderChar">
    <w:name w:val="Header Char"/>
    <w:basedOn w:val="DefaultParagraphFont"/>
    <w:link w:val="Header"/>
    <w:uiPriority w:val="99"/>
    <w:rsid w:val="00555CD3"/>
    <w:rPr>
      <w:rFonts w:ascii="Times New Roman" w:hAnsi="Times New Roman"/>
    </w:rPr>
  </w:style>
  <w:style w:type="paragraph" w:styleId="Footer">
    <w:name w:val="footer"/>
    <w:basedOn w:val="Normal"/>
    <w:link w:val="FooterChar"/>
    <w:uiPriority w:val="99"/>
    <w:unhideWhenUsed/>
    <w:rsid w:val="00555CD3"/>
    <w:pPr>
      <w:tabs>
        <w:tab w:val="center" w:pos="4680"/>
        <w:tab w:val="right" w:pos="9360"/>
      </w:tabs>
      <w:spacing w:line="240" w:lineRule="auto"/>
    </w:pPr>
    <w:rPr>
      <w:sz w:val="22"/>
      <w:szCs w:val="22"/>
    </w:rPr>
  </w:style>
  <w:style w:type="character" w:customStyle="1" w:styleId="FooterChar">
    <w:name w:val="Footer Char"/>
    <w:basedOn w:val="DefaultParagraphFont"/>
    <w:link w:val="Footer"/>
    <w:uiPriority w:val="99"/>
    <w:rsid w:val="00555CD3"/>
    <w:rPr>
      <w:rFonts w:ascii="Times New Roman" w:hAnsi="Times New Roman"/>
    </w:rPr>
  </w:style>
  <w:style w:type="character" w:styleId="Hyperlink">
    <w:name w:val="Hyperlink"/>
    <w:basedOn w:val="DefaultParagraphFont"/>
    <w:uiPriority w:val="99"/>
    <w:unhideWhenUsed/>
    <w:rsid w:val="00553437"/>
    <w:rPr>
      <w:color w:val="0563C1" w:themeColor="hyperlink"/>
      <w:u w:val="single"/>
    </w:rPr>
  </w:style>
  <w:style w:type="character" w:styleId="UnresolvedMention">
    <w:name w:val="Unresolved Mention"/>
    <w:basedOn w:val="DefaultParagraphFont"/>
    <w:uiPriority w:val="99"/>
    <w:semiHidden/>
    <w:unhideWhenUsed/>
    <w:rsid w:val="00553437"/>
    <w:rPr>
      <w:color w:val="605E5C"/>
      <w:shd w:val="clear" w:color="auto" w:fill="E1DFDD"/>
    </w:rPr>
  </w:style>
  <w:style w:type="paragraph" w:styleId="ListParagraph">
    <w:name w:val="List Paragraph"/>
    <w:basedOn w:val="Normal"/>
    <w:uiPriority w:val="34"/>
    <w:qFormat/>
    <w:rsid w:val="00EE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3</cp:revision>
  <dcterms:created xsi:type="dcterms:W3CDTF">2023-02-01T04:21:00Z</dcterms:created>
  <dcterms:modified xsi:type="dcterms:W3CDTF">2023-02-01T05:35:00Z</dcterms:modified>
</cp:coreProperties>
</file>