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89CB" w14:textId="6D9821C0" w:rsidR="00C71331" w:rsidRPr="00C71331" w:rsidRDefault="000B158F" w:rsidP="00C71331">
      <w:pPr>
        <w:keepNext/>
        <w:spacing w:after="200" w:line="480" w:lineRule="auto"/>
        <w:jc w:val="center"/>
        <w:rPr>
          <w:rFonts w:eastAsia="Times New Roman"/>
          <w:b/>
          <w:color w:val="auto"/>
          <w:kern w:val="0"/>
          <w:sz w:val="28"/>
          <w:szCs w:val="28"/>
          <w14:ligatures w14:val="none"/>
        </w:rPr>
      </w:pPr>
      <w:bookmarkStart w:id="0" w:name="_Hlk144125644"/>
      <w:bookmarkStart w:id="1" w:name="_Hlk111203407"/>
      <w:r>
        <w:rPr>
          <w:rFonts w:eastAsia="Times New Roman"/>
          <w:b/>
          <w:color w:val="auto"/>
          <w:kern w:val="0"/>
          <w:sz w:val="28"/>
          <w:szCs w:val="28"/>
          <w14:ligatures w14:val="none"/>
        </w:rPr>
        <w:t>JUROR QUALIFICATION – POLICE OFFICERS AS JURORS IN CRIMINAL CASES</w:t>
      </w:r>
      <w:r w:rsidR="00C71331" w:rsidRPr="00C71331">
        <w:rPr>
          <w:rFonts w:eastAsia="Times New Roman"/>
          <w:b/>
          <w:color w:val="auto"/>
          <w:kern w:val="0"/>
          <w:sz w:val="28"/>
          <w:szCs w:val="28"/>
          <w14:ligatures w14:val="none"/>
        </w:rPr>
        <w:t xml:space="preserve"> - EPISODE NOTES</w:t>
      </w:r>
      <w:r w:rsidR="004D4931">
        <w:rPr>
          <w:rFonts w:eastAsia="Times New Roman"/>
          <w:b/>
          <w:color w:val="auto"/>
          <w:kern w:val="0"/>
          <w:sz w:val="28"/>
          <w:szCs w:val="28"/>
          <w14:ligatures w14:val="none"/>
        </w:rPr>
        <w:t xml:space="preserve"> </w:t>
      </w:r>
    </w:p>
    <w:bookmarkEnd w:id="0"/>
    <w:p w14:paraId="4EF6EF63" w14:textId="170D770B"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Judge-Ment Podcast.  I am Wade Padgett</w:t>
      </w:r>
    </w:p>
    <w:p w14:paraId="724A7D1B" w14:textId="352256E9" w:rsid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And I am</w:t>
      </w:r>
      <w:r w:rsidR="000B158F">
        <w:rPr>
          <w:rFonts w:eastAsia="Times New Roman"/>
          <w:bCs/>
          <w:i/>
          <w:iCs/>
          <w:color w:val="auto"/>
          <w:kern w:val="0"/>
          <w:sz w:val="28"/>
          <w:szCs w:val="28"/>
          <w14:ligatures w14:val="none"/>
        </w:rPr>
        <w:t xml:space="preserve"> still</w:t>
      </w:r>
      <w:r w:rsidRPr="00C71331">
        <w:rPr>
          <w:rFonts w:eastAsia="Times New Roman"/>
          <w:bCs/>
          <w:i/>
          <w:iCs/>
          <w:color w:val="auto"/>
          <w:kern w:val="0"/>
          <w:sz w:val="28"/>
          <w:szCs w:val="28"/>
          <w14:ligatures w14:val="none"/>
        </w:rPr>
        <w:t xml:space="preserve"> Tain Kell. </w:t>
      </w:r>
    </w:p>
    <w:p w14:paraId="2514A0C8" w14:textId="1DE343F1" w:rsidR="00776F4B" w:rsidRDefault="00776F4B"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Tain, </w:t>
      </w:r>
      <w:r w:rsidR="000B158F">
        <w:rPr>
          <w:rFonts w:eastAsia="Times New Roman"/>
          <w:bCs/>
          <w:color w:val="auto"/>
          <w:kern w:val="0"/>
          <w:sz w:val="28"/>
          <w:szCs w:val="28"/>
          <w14:ligatures w14:val="none"/>
        </w:rPr>
        <w:t>occasionally we find episode topics when we are researching topics for our real jobs</w:t>
      </w:r>
    </w:p>
    <w:p w14:paraId="17C994E9" w14:textId="2A237C67" w:rsidR="00776F4B" w:rsidRDefault="000B158F"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 xml:space="preserve"> I used to have that happen – not as often any more.  Retired life is a lot busier that I anticipated – just not as much legal research…</w:t>
      </w:r>
    </w:p>
    <w:p w14:paraId="21E9B7D8" w14:textId="7D80E1B7" w:rsidR="007C078D" w:rsidRDefault="007C078D"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Yeah, </w:t>
      </w:r>
      <w:r w:rsidR="000B158F">
        <w:rPr>
          <w:rFonts w:eastAsia="Times New Roman"/>
          <w:bCs/>
          <w:color w:val="auto"/>
          <w:kern w:val="0"/>
          <w:sz w:val="28"/>
          <w:szCs w:val="28"/>
          <w14:ligatures w14:val="none"/>
        </w:rPr>
        <w:t>rub it in.  “Retired” – you work as much now as when you were sitting!</w:t>
      </w:r>
    </w:p>
    <w:p w14:paraId="7613C4DC" w14:textId="67E88CE6" w:rsidR="007C078D" w:rsidRDefault="000B158F"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Just mediating disputes for a living – I kinda’ like it.</w:t>
      </w:r>
    </w:p>
    <w:p w14:paraId="50A14273" w14:textId="24798CEA" w:rsidR="007C078D" w:rsidRDefault="000B158F"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So to be more exact, today’s topic arose when I was performing research on a topic – is that better?</w:t>
      </w:r>
    </w:p>
    <w:p w14:paraId="1C9567F7" w14:textId="7FB1CF39" w:rsidR="007C078D" w:rsidRDefault="000B158F"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Well, it is more accurate.  Anyway, Wade came across this topic and we both thought it would be good to discuss here on the podcast.  Tell the folks what we are going to discuss.</w:t>
      </w:r>
    </w:p>
    <w:p w14:paraId="3D2EC3CE" w14:textId="63EDF102" w:rsidR="00B3052C" w:rsidRPr="00B3052C" w:rsidRDefault="000B158F" w:rsidP="0003237A">
      <w:pPr>
        <w:spacing w:after="200" w:line="480" w:lineRule="auto"/>
        <w:rPr>
          <w:rFonts w:eastAsia="Times New Roman"/>
          <w:bCs/>
          <w:color w:val="auto"/>
          <w:kern w:val="0"/>
          <w:sz w:val="28"/>
          <w:szCs w:val="28"/>
          <w14:ligatures w14:val="none"/>
        </w:rPr>
      </w:pPr>
      <w:r>
        <w:rPr>
          <w:rFonts w:eastAsia="Times New Roman"/>
          <w:bCs/>
          <w:iCs/>
          <w:color w:val="auto"/>
          <w:kern w:val="0"/>
          <w:sz w:val="28"/>
          <w:szCs w:val="28"/>
          <w14:ligatures w14:val="none"/>
        </w:rPr>
        <w:lastRenderedPageBreak/>
        <w:t xml:space="preserve">Juror qualifications in criminal cases – specifically whether “police officers” must automatically be disqualified.  There are a </w:t>
      </w:r>
      <w:r>
        <w:rPr>
          <w:rFonts w:eastAsia="Times New Roman"/>
          <w:bCs/>
          <w:iCs/>
          <w:color w:val="auto"/>
          <w:kern w:val="0"/>
          <w:sz w:val="28"/>
          <w:szCs w:val="28"/>
          <w:u w:val="single"/>
          <w14:ligatures w14:val="none"/>
        </w:rPr>
        <w:t>bunch</w:t>
      </w:r>
      <w:r>
        <w:rPr>
          <w:rFonts w:eastAsia="Times New Roman"/>
          <w:bCs/>
          <w:iCs/>
          <w:color w:val="auto"/>
          <w:kern w:val="0"/>
          <w:sz w:val="28"/>
          <w:szCs w:val="28"/>
          <w14:ligatures w14:val="none"/>
        </w:rPr>
        <w:t xml:space="preserve"> of cases on this topic, believe it or not.  </w:t>
      </w:r>
      <w:r w:rsidR="00B3052C">
        <w:rPr>
          <w:rFonts w:eastAsia="Times New Roman"/>
          <w:bCs/>
          <w:color w:val="auto"/>
          <w:kern w:val="0"/>
          <w:sz w:val="28"/>
          <w:szCs w:val="28"/>
          <w14:ligatures w14:val="none"/>
        </w:rPr>
        <w:t>You can find these episode notes on our webpage – goodjudgepod.com</w:t>
      </w:r>
    </w:p>
    <w:p w14:paraId="014B72EA" w14:textId="3A4904FC" w:rsidR="00B3052C" w:rsidRPr="00B3052C" w:rsidRDefault="00104359" w:rsidP="00C71331">
      <w:pPr>
        <w:spacing w:after="200" w:line="480" w:lineRule="auto"/>
        <w:rPr>
          <w:rFonts w:eastAsia="Times New Roman"/>
          <w:bCs/>
          <w:color w:val="auto"/>
          <w:kern w:val="0"/>
          <w:sz w:val="28"/>
          <w:szCs w:val="28"/>
          <w14:ligatures w14:val="none"/>
        </w:rPr>
      </w:pPr>
      <w:r>
        <w:rPr>
          <w:rFonts w:eastAsia="Times New Roman"/>
          <w:bCs/>
          <w:i/>
          <w:iCs/>
          <w:color w:val="auto"/>
          <w:kern w:val="0"/>
          <w:sz w:val="28"/>
          <w:szCs w:val="28"/>
          <w14:ligatures w14:val="none"/>
        </w:rPr>
        <w:t xml:space="preserve">  If </w:t>
      </w:r>
      <w:r w:rsidRPr="00C50CDC">
        <w:rPr>
          <w:rFonts w:eastAsia="Times New Roman"/>
          <w:bCs/>
          <w:i/>
          <w:iCs/>
          <w:color w:val="auto"/>
          <w:kern w:val="0"/>
          <w:sz w:val="28"/>
          <w:szCs w:val="28"/>
          <w:u w:val="single"/>
          <w14:ligatures w14:val="none"/>
        </w:rPr>
        <w:t>you</w:t>
      </w:r>
      <w:r>
        <w:rPr>
          <w:rFonts w:eastAsia="Times New Roman"/>
          <w:bCs/>
          <w:i/>
          <w:iCs/>
          <w:color w:val="auto"/>
          <w:kern w:val="0"/>
          <w:sz w:val="28"/>
          <w:szCs w:val="28"/>
          <w14:ligatures w14:val="none"/>
        </w:rPr>
        <w:t xml:space="preserve"> have </w:t>
      </w:r>
      <w:r w:rsidR="0003237A">
        <w:rPr>
          <w:rFonts w:eastAsia="Times New Roman"/>
          <w:bCs/>
          <w:i/>
          <w:iCs/>
          <w:color w:val="auto"/>
          <w:kern w:val="0"/>
          <w:sz w:val="28"/>
          <w:szCs w:val="28"/>
          <w14:ligatures w14:val="none"/>
        </w:rPr>
        <w:t>podcast topic ideas, send them to us at</w:t>
      </w:r>
      <w:r w:rsidR="00326B9C">
        <w:rPr>
          <w:rFonts w:eastAsia="Times New Roman"/>
          <w:bCs/>
          <w:color w:val="auto"/>
          <w:kern w:val="0"/>
          <w:sz w:val="28"/>
          <w:szCs w:val="28"/>
          <w14:ligatures w14:val="none"/>
        </w:rPr>
        <w:t xml:space="preserve"> </w:t>
      </w:r>
      <w:r w:rsidR="00C50CDC" w:rsidRPr="00C71331">
        <w:rPr>
          <w:rFonts w:eastAsia="Times New Roman"/>
          <w:bCs/>
          <w:i/>
          <w:iCs/>
          <w:color w:val="auto"/>
          <w:kern w:val="0"/>
          <w:sz w:val="28"/>
          <w:szCs w:val="28"/>
          <w14:ligatures w14:val="none"/>
        </w:rPr>
        <w:t>goodjudgepod@gmail.com</w:t>
      </w:r>
      <w:r w:rsidR="00C50CDC">
        <w:rPr>
          <w:rFonts w:eastAsia="Times New Roman"/>
          <w:bCs/>
          <w:i/>
          <w:iCs/>
          <w:color w:val="auto"/>
          <w:kern w:val="0"/>
          <w:sz w:val="28"/>
          <w:szCs w:val="28"/>
          <w14:ligatures w14:val="none"/>
        </w:rPr>
        <w:t xml:space="preserve">.  </w:t>
      </w:r>
      <w:r w:rsidR="00C71331" w:rsidRPr="00C71331">
        <w:rPr>
          <w:rFonts w:eastAsia="Times New Roman"/>
          <w:bCs/>
          <w:i/>
          <w:iCs/>
          <w:color w:val="auto"/>
          <w:kern w:val="0"/>
          <w:sz w:val="28"/>
          <w:szCs w:val="28"/>
          <w14:ligatures w14:val="none"/>
        </w:rPr>
        <w:t xml:space="preserve">With all of that being said, let’s talk </w:t>
      </w:r>
      <w:r w:rsidR="000B158F">
        <w:rPr>
          <w:rFonts w:eastAsia="Times New Roman"/>
          <w:bCs/>
          <w:i/>
          <w:iCs/>
          <w:color w:val="auto"/>
          <w:kern w:val="0"/>
          <w:sz w:val="28"/>
          <w:szCs w:val="28"/>
          <w14:ligatures w14:val="none"/>
        </w:rPr>
        <w:t>juror qualifications in</w:t>
      </w:r>
      <w:r w:rsidR="00326B9C">
        <w:rPr>
          <w:rFonts w:eastAsia="Times New Roman"/>
          <w:bCs/>
          <w:i/>
          <w:iCs/>
          <w:color w:val="auto"/>
          <w:kern w:val="0"/>
          <w:sz w:val="28"/>
          <w:szCs w:val="28"/>
          <w14:ligatures w14:val="none"/>
        </w:rPr>
        <w:t xml:space="preserve"> criminal trials</w:t>
      </w:r>
    </w:p>
    <w:p w14:paraId="255A5DB4" w14:textId="77777777" w:rsidR="00C71331" w:rsidRPr="00C71331" w:rsidRDefault="00274D1E"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6419F390">
          <v:rect id="_x0000_i1025" style="width:0;height:1.5pt" o:hralign="center" o:hrstd="t" o:hr="t" fillcolor="#a0a0a0" stroked="f"/>
        </w:pict>
      </w:r>
    </w:p>
    <w:p w14:paraId="62F94B0F" w14:textId="2DA2C064" w:rsidR="000B158F" w:rsidRDefault="000B158F" w:rsidP="000B158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There was a time when the relevant statute actually provided who is and who is not qualified to serve as a juror in criminal cases</w:t>
      </w:r>
    </w:p>
    <w:p w14:paraId="57BB963E" w14:textId="4B4FD246" w:rsidR="000B158F" w:rsidRDefault="000B158F" w:rsidP="000B158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t>Those statutes still exist – they have just been amended over time</w:t>
      </w:r>
    </w:p>
    <w:p w14:paraId="5042AAEF" w14:textId="0D53592D" w:rsidR="000B158F" w:rsidRDefault="000B158F" w:rsidP="000B158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For example, O.C.G.A. § 15-12-1.1 provides for exemptions from jury duty</w:t>
      </w:r>
    </w:p>
    <w:p w14:paraId="5190D296" w14:textId="6E4C1D28" w:rsidR="000B158F" w:rsidRDefault="000B158F" w:rsidP="000B158F">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The statute exempts certain people from jury duty and discusses the “excusal” process</w:t>
      </w:r>
    </w:p>
    <w:p w14:paraId="79076B8F" w14:textId="11F17A85" w:rsidR="000B158F" w:rsidRDefault="000B158F" w:rsidP="000B158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court has a duty to provide form affidavits for individuals requesting to be excused</w:t>
      </w:r>
      <w:r>
        <w:rPr>
          <w:rStyle w:val="EndnoteReference"/>
          <w:rFonts w:eastAsia="Times New Roman"/>
          <w:bCs/>
          <w:kern w:val="0"/>
          <w:szCs w:val="28"/>
          <w14:ligatures w14:val="none"/>
        </w:rPr>
        <w:endnoteReference w:id="1"/>
      </w:r>
    </w:p>
    <w:p w14:paraId="77F600C0" w14:textId="7327DA40" w:rsidR="000B158F" w:rsidRDefault="000B158F" w:rsidP="000B158F">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The statute provides that the following individuals are allowed to seek exemption from jury service (they are not allowed to simply ignore </w:t>
      </w:r>
      <w:r>
        <w:rPr>
          <w:rFonts w:eastAsia="Times New Roman"/>
          <w:bCs/>
          <w:color w:val="auto"/>
          <w:kern w:val="0"/>
          <w:sz w:val="28"/>
          <w:szCs w:val="28"/>
          <w14:ligatures w14:val="none"/>
        </w:rPr>
        <w:lastRenderedPageBreak/>
        <w:t>the juror summons – but if they seek excusal or deferment, it must be granted):</w:t>
      </w:r>
    </w:p>
    <w:p w14:paraId="5AECB7FE" w14:textId="2F50664A" w:rsidR="000B158F" w:rsidRDefault="000B158F" w:rsidP="000B158F">
      <w:pPr>
        <w:pStyle w:val="ListParagraph"/>
        <w:numPr>
          <w:ilvl w:val="0"/>
          <w:numId w:val="17"/>
        </w:num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Full time students in post-secondary school</w:t>
      </w:r>
    </w:p>
    <w:p w14:paraId="3A70EA1E" w14:textId="6DEDC1A3" w:rsidR="000B158F" w:rsidRDefault="000B158F" w:rsidP="000B158F">
      <w:pPr>
        <w:pStyle w:val="ListParagraph"/>
        <w:numPr>
          <w:ilvl w:val="0"/>
          <w:numId w:val="17"/>
        </w:num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Primary caregiver of child under age 6</w:t>
      </w:r>
    </w:p>
    <w:p w14:paraId="552A882B" w14:textId="16541EB6" w:rsidR="000B158F" w:rsidRDefault="000B158F" w:rsidP="000B158F">
      <w:pPr>
        <w:pStyle w:val="ListParagraph"/>
        <w:numPr>
          <w:ilvl w:val="0"/>
          <w:numId w:val="17"/>
        </w:num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Primary teacher in a home school program</w:t>
      </w:r>
    </w:p>
    <w:p w14:paraId="342AED61" w14:textId="29866FF5" w:rsidR="000B158F" w:rsidRDefault="000B158F" w:rsidP="000B158F">
      <w:pPr>
        <w:pStyle w:val="ListParagraph"/>
        <w:numPr>
          <w:ilvl w:val="0"/>
          <w:numId w:val="17"/>
        </w:num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Primary caregiver of a handicapped person</w:t>
      </w:r>
    </w:p>
    <w:p w14:paraId="2581DF59" w14:textId="054579D3" w:rsidR="000B158F" w:rsidRDefault="000B158F" w:rsidP="000B158F">
      <w:pPr>
        <w:pStyle w:val="ListParagraph"/>
        <w:numPr>
          <w:ilvl w:val="0"/>
          <w:numId w:val="17"/>
        </w:num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Any person over the age of 70; and</w:t>
      </w:r>
    </w:p>
    <w:p w14:paraId="555F543D" w14:textId="7EAEBDC1" w:rsidR="000B158F" w:rsidRPr="000B158F" w:rsidRDefault="000B158F" w:rsidP="000B158F">
      <w:pPr>
        <w:pStyle w:val="ListParagraph"/>
        <w:numPr>
          <w:ilvl w:val="0"/>
          <w:numId w:val="17"/>
        </w:num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Any person on ordered military duty or spouse of such person</w:t>
      </w:r>
      <w:r>
        <w:rPr>
          <w:rStyle w:val="EndnoteReference"/>
          <w:rFonts w:eastAsia="Times New Roman"/>
          <w:bCs/>
          <w:kern w:val="0"/>
          <w:szCs w:val="28"/>
          <w14:ligatures w14:val="none"/>
        </w:rPr>
        <w:endnoteReference w:id="2"/>
      </w:r>
    </w:p>
    <w:p w14:paraId="607B5099" w14:textId="30DBAEF1" w:rsidR="00B3052C" w:rsidRPr="000B158F" w:rsidRDefault="000B158F" w:rsidP="000B158F">
      <w:pPr>
        <w:spacing w:before="120" w:after="240" w:line="480" w:lineRule="auto"/>
        <w:ind w:right="720"/>
        <w:rPr>
          <w:rFonts w:eastAsia="Arial" w:cstheme="minorBidi"/>
          <w:bCs/>
          <w:color w:val="auto"/>
          <w:kern w:val="0"/>
          <w:sz w:val="28"/>
          <w:szCs w:val="28"/>
          <w14:ligatures w14:val="none"/>
        </w:rPr>
      </w:pPr>
      <w:r>
        <w:rPr>
          <w:rFonts w:eastAsia="Arial" w:cstheme="minorBidi"/>
          <w:bCs/>
          <w:color w:val="auto"/>
          <w:kern w:val="0"/>
          <w:sz w:val="28"/>
          <w:szCs w:val="28"/>
          <w14:ligatures w14:val="none"/>
        </w:rPr>
        <w:t>Understand that there are additional requirements (such as there being no reasonable alternative for the primary caregivers) that we will not address in detail here</w:t>
      </w:r>
    </w:p>
    <w:p w14:paraId="754DAFB0" w14:textId="77777777" w:rsidR="00C71331" w:rsidRPr="00C71331" w:rsidRDefault="00274D1E" w:rsidP="00C71331">
      <w:pPr>
        <w:spacing w:before="120" w:after="240" w:line="480" w:lineRule="auto"/>
        <w:ind w:right="720"/>
        <w:rPr>
          <w:rFonts w:eastAsia="Arial" w:cstheme="minorBidi"/>
          <w:bCs/>
          <w:color w:val="auto"/>
          <w:kern w:val="0"/>
          <w14:ligatures w14:val="none"/>
        </w:rPr>
      </w:pPr>
      <w:r>
        <w:rPr>
          <w:rFonts w:eastAsia="Times New Roman"/>
          <w:bCs/>
          <w:color w:val="auto"/>
          <w:kern w:val="0"/>
          <w:sz w:val="28"/>
          <w:szCs w:val="28"/>
          <w14:ligatures w14:val="none"/>
        </w:rPr>
        <w:pict w14:anchorId="52A1C868">
          <v:rect id="_x0000_i1026" style="width:0;height:1.5pt" o:hralign="center" o:hrstd="t" o:hr="t" fillcolor="#a0a0a0" stroked="f"/>
        </w:pict>
      </w:r>
    </w:p>
    <w:p w14:paraId="68A9208A" w14:textId="7E25B70E" w:rsidR="007D720F" w:rsidRDefault="007D720F" w:rsidP="007D720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Remember that these are statutory provisions that allow those potential jurors who qualify to seek excusal or deferment</w:t>
      </w:r>
    </w:p>
    <w:p w14:paraId="2460C407" w14:textId="7D743FDC" w:rsidR="007D720F" w:rsidRDefault="007D720F" w:rsidP="007D720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Over the years, most judges have heard from potential jurors who claim that they are not qualified or must be automatically disqualified from jury service if they met one of the definitions above</w:t>
      </w:r>
    </w:p>
    <w:p w14:paraId="6FC2D9B3" w14:textId="529DB574" w:rsidR="007D720F" w:rsidRDefault="007D720F" w:rsidP="007D720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That is NOT the law – they are potential excusals if the potential juror completes the required affidavit that shows that they qualify</w:t>
      </w:r>
    </w:p>
    <w:p w14:paraId="074704DA" w14:textId="46493D2F" w:rsidR="005A69B7" w:rsidRDefault="005A69B7" w:rsidP="005A69B7">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 only “unqualified” excusal that does not require additional affidavits to address the details (i.e. that no other arrangements can reasonably be made) is for a person 70 years of age or older</w:t>
      </w:r>
    </w:p>
    <w:p w14:paraId="02BCFDCF" w14:textId="54E2C131" w:rsidR="005A69B7" w:rsidRDefault="005A69B7" w:rsidP="005A69B7">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3FD7CD10">
          <v:rect id="_x0000_i1040" style="width:0;height:1.5pt" o:hralign="center" o:hrstd="t" o:hr="t" fillcolor="#a0a0a0" stroked="f"/>
        </w:pict>
      </w:r>
    </w:p>
    <w:p w14:paraId="348D77F1" w14:textId="40CBE1FB" w:rsidR="00CD4FB6" w:rsidRDefault="000B158F" w:rsidP="007D720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told you earlier t</w:t>
      </w:r>
      <w:r w:rsidR="007D720F">
        <w:rPr>
          <w:rFonts w:eastAsia="Arial"/>
          <w:bCs/>
          <w:color w:val="auto"/>
          <w:kern w:val="0"/>
          <w:sz w:val="28"/>
          <w:szCs w:val="28"/>
          <w14:ligatures w14:val="none"/>
        </w:rPr>
        <w:t>hat we are going to address law enforcement officers – and we just gave you the list and did not mention law enforcement officers – so you may be asking yourself “what is the deal with that?”</w:t>
      </w:r>
    </w:p>
    <w:p w14:paraId="5A1D972A" w14:textId="375054A9" w:rsidR="007D720F" w:rsidRDefault="007D720F" w:rsidP="007D720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The reason </w:t>
      </w:r>
      <w:r w:rsidR="000A6451">
        <w:rPr>
          <w:rFonts w:eastAsia="Arial"/>
          <w:bCs/>
          <w:color w:val="auto"/>
          <w:kern w:val="0"/>
          <w:sz w:val="28"/>
          <w:szCs w:val="28"/>
          <w14:ligatures w14:val="none"/>
        </w:rPr>
        <w:t xml:space="preserve">that we are discussing the “general” exemption statute </w:t>
      </w:r>
      <w:r>
        <w:rPr>
          <w:rFonts w:eastAsia="Arial"/>
          <w:bCs/>
          <w:color w:val="auto"/>
          <w:kern w:val="0"/>
          <w:sz w:val="28"/>
          <w:szCs w:val="28"/>
          <w14:ligatures w14:val="none"/>
        </w:rPr>
        <w:t>i</w:t>
      </w:r>
      <w:r w:rsidR="000A6451">
        <w:rPr>
          <w:rFonts w:eastAsia="Arial"/>
          <w:bCs/>
          <w:color w:val="auto"/>
          <w:kern w:val="0"/>
          <w:sz w:val="28"/>
          <w:szCs w:val="28"/>
          <w14:ligatures w14:val="none"/>
        </w:rPr>
        <w:t>s that in prior versions of that</w:t>
      </w:r>
      <w:r>
        <w:rPr>
          <w:rFonts w:eastAsia="Arial"/>
          <w:bCs/>
          <w:color w:val="auto"/>
          <w:kern w:val="0"/>
          <w:sz w:val="28"/>
          <w:szCs w:val="28"/>
          <w14:ligatures w14:val="none"/>
        </w:rPr>
        <w:t xml:space="preserve"> statute, law enforcement officers were </w:t>
      </w:r>
      <w:r w:rsidR="000A6451">
        <w:rPr>
          <w:rFonts w:eastAsia="Arial"/>
          <w:bCs/>
          <w:color w:val="auto"/>
          <w:kern w:val="0"/>
          <w:sz w:val="28"/>
          <w:szCs w:val="28"/>
          <w14:ligatures w14:val="none"/>
        </w:rPr>
        <w:t xml:space="preserve">actually </w:t>
      </w:r>
      <w:r>
        <w:rPr>
          <w:rFonts w:eastAsia="Arial"/>
          <w:bCs/>
          <w:color w:val="auto"/>
          <w:kern w:val="0"/>
          <w:sz w:val="28"/>
          <w:szCs w:val="28"/>
          <w14:ligatures w14:val="none"/>
        </w:rPr>
        <w:t>excluded from jury service – but as of 1984, that exclusion does not appear in the statute</w:t>
      </w:r>
    </w:p>
    <w:p w14:paraId="11C0D3EC" w14:textId="53C226C7" w:rsidR="005A69B7" w:rsidRDefault="005A69B7" w:rsidP="005A69B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Older versions of the statute provided that full-time police officers should not normally be included in the “box” from which jurors were selected but could “opt in” by requesting that they be included</w:t>
      </w:r>
    </w:p>
    <w:p w14:paraId="5A56904F" w14:textId="2883A908" w:rsidR="005A69B7" w:rsidRDefault="005A69B7" w:rsidP="005A69B7">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lastRenderedPageBreak/>
        <w:t>However, upon any motion to strike a full-time police officer for cause, that request should be granted</w:t>
      </w:r>
      <w:r>
        <w:rPr>
          <w:rStyle w:val="EndnoteReference"/>
          <w:rFonts w:eastAsia="Arial"/>
          <w:bCs/>
          <w:kern w:val="0"/>
          <w:szCs w:val="28"/>
          <w14:ligatures w14:val="none"/>
        </w:rPr>
        <w:endnoteReference w:id="3"/>
      </w:r>
    </w:p>
    <w:p w14:paraId="5DF868D4" w14:textId="0E39AA8D" w:rsidR="000A6451" w:rsidRDefault="000A6451" w:rsidP="000A645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You are going to note that we are going to continually address “full-time police officers” because that distinction is important in determining whether the potential juror who is employed with a law enforcement agency must be excluded for cause </w:t>
      </w:r>
    </w:p>
    <w:p w14:paraId="25B520A5" w14:textId="57E36D5A" w:rsidR="007D720F" w:rsidRDefault="000A6451" w:rsidP="000A645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While the statute may have been altered over the years, </w:t>
      </w:r>
      <w:r w:rsidR="007D720F">
        <w:rPr>
          <w:rFonts w:eastAsia="Arial"/>
          <w:bCs/>
          <w:color w:val="auto"/>
          <w:kern w:val="0"/>
          <w:sz w:val="28"/>
          <w:szCs w:val="28"/>
          <w14:ligatures w14:val="none"/>
        </w:rPr>
        <w:t xml:space="preserve">the case law has continued </w:t>
      </w:r>
      <w:r>
        <w:rPr>
          <w:rFonts w:eastAsia="Arial"/>
          <w:bCs/>
          <w:color w:val="auto"/>
          <w:kern w:val="0"/>
          <w:sz w:val="28"/>
          <w:szCs w:val="28"/>
          <w14:ligatures w14:val="none"/>
        </w:rPr>
        <w:t xml:space="preserve">to recognize </w:t>
      </w:r>
      <w:r w:rsidR="007D720F">
        <w:rPr>
          <w:rFonts w:eastAsia="Arial"/>
          <w:bCs/>
          <w:color w:val="auto"/>
          <w:kern w:val="0"/>
          <w:sz w:val="28"/>
          <w:szCs w:val="28"/>
          <w14:ligatures w14:val="none"/>
        </w:rPr>
        <w:t>that</w:t>
      </w:r>
      <w:r>
        <w:rPr>
          <w:rFonts w:eastAsia="Arial"/>
          <w:bCs/>
          <w:color w:val="auto"/>
          <w:kern w:val="0"/>
          <w:sz w:val="28"/>
          <w:szCs w:val="28"/>
          <w14:ligatures w14:val="none"/>
        </w:rPr>
        <w:t xml:space="preserve"> language that</w:t>
      </w:r>
      <w:r w:rsidR="007D720F">
        <w:rPr>
          <w:rFonts w:eastAsia="Arial"/>
          <w:bCs/>
          <w:color w:val="auto"/>
          <w:kern w:val="0"/>
          <w:sz w:val="28"/>
          <w:szCs w:val="28"/>
          <w14:ligatures w14:val="none"/>
        </w:rPr>
        <w:t xml:space="preserve"> formerly appeared in the </w:t>
      </w:r>
      <w:r>
        <w:rPr>
          <w:rFonts w:eastAsia="Arial"/>
          <w:bCs/>
          <w:color w:val="auto"/>
          <w:kern w:val="0"/>
          <w:sz w:val="28"/>
          <w:szCs w:val="28"/>
          <w14:ligatures w14:val="none"/>
        </w:rPr>
        <w:t xml:space="preserve">prior version of the </w:t>
      </w:r>
      <w:r w:rsidR="007D720F">
        <w:rPr>
          <w:rFonts w:eastAsia="Arial"/>
          <w:bCs/>
          <w:color w:val="auto"/>
          <w:kern w:val="0"/>
          <w:sz w:val="28"/>
          <w:szCs w:val="28"/>
          <w14:ligatures w14:val="none"/>
        </w:rPr>
        <w:t>statute</w:t>
      </w:r>
    </w:p>
    <w:p w14:paraId="02A2D871" w14:textId="55883DF1" w:rsidR="005A69B7" w:rsidRDefault="005A69B7" w:rsidP="007D720F">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96DD4C5">
          <v:rect id="_x0000_i1041" style="width:0;height:1.5pt" o:hralign="center" o:hrstd="t" o:hr="t" fillcolor="#a0a0a0" stroked="f"/>
        </w:pict>
      </w:r>
    </w:p>
    <w:p w14:paraId="70137192" w14:textId="5AB4F114" w:rsidR="005A69B7" w:rsidRDefault="005A69B7" w:rsidP="007D720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One of the seminal cases that addresses the fact that police officers should be excluded from criminal juror panels is </w:t>
      </w:r>
      <w:r>
        <w:rPr>
          <w:rFonts w:eastAsia="Arial"/>
          <w:bCs/>
          <w:i/>
          <w:color w:val="auto"/>
          <w:kern w:val="0"/>
          <w:sz w:val="28"/>
          <w:szCs w:val="28"/>
          <w14:ligatures w14:val="none"/>
        </w:rPr>
        <w:t>Hutcheson v. State</w:t>
      </w:r>
      <w:r w:rsidRPr="005A69B7">
        <w:rPr>
          <w:rStyle w:val="EndnoteReference"/>
          <w:rFonts w:eastAsia="Arial"/>
          <w:bCs/>
          <w:kern w:val="0"/>
          <w:szCs w:val="28"/>
          <w14:ligatures w14:val="none"/>
        </w:rPr>
        <w:endnoteReference w:id="4"/>
      </w:r>
    </w:p>
    <w:p w14:paraId="6A9178FC" w14:textId="7B2D6297" w:rsidR="005A69B7" w:rsidRDefault="000A6451" w:rsidP="000A6451">
      <w:pPr>
        <w:spacing w:before="120" w:after="240" w:line="480" w:lineRule="auto"/>
        <w:ind w:left="720" w:right="720"/>
        <w:rPr>
          <w:rFonts w:eastAsia="Arial"/>
          <w:bCs/>
          <w:color w:val="auto"/>
          <w:kern w:val="0"/>
          <w:sz w:val="28"/>
          <w:szCs w:val="28"/>
          <w14:ligatures w14:val="none"/>
        </w:rPr>
      </w:pPr>
      <w:r>
        <w:rPr>
          <w:rFonts w:eastAsia="Arial"/>
          <w:bCs/>
          <w:i/>
          <w:color w:val="auto"/>
          <w:kern w:val="0"/>
          <w:sz w:val="28"/>
          <w:szCs w:val="28"/>
          <w14:ligatures w14:val="none"/>
        </w:rPr>
        <w:t>Hutcheson</w:t>
      </w:r>
      <w:r>
        <w:rPr>
          <w:rFonts w:eastAsia="Arial"/>
          <w:bCs/>
          <w:color w:val="auto"/>
          <w:kern w:val="0"/>
          <w:sz w:val="28"/>
          <w:szCs w:val="28"/>
          <w14:ligatures w14:val="none"/>
        </w:rPr>
        <w:t xml:space="preserve"> and the </w:t>
      </w:r>
      <w:r w:rsidR="005A69B7">
        <w:rPr>
          <w:rFonts w:eastAsia="Arial"/>
          <w:bCs/>
          <w:color w:val="auto"/>
          <w:kern w:val="0"/>
          <w:sz w:val="28"/>
          <w:szCs w:val="28"/>
          <w14:ligatures w14:val="none"/>
        </w:rPr>
        <w:t xml:space="preserve">cases </w:t>
      </w:r>
      <w:r>
        <w:rPr>
          <w:rFonts w:eastAsia="Arial"/>
          <w:bCs/>
          <w:color w:val="auto"/>
          <w:kern w:val="0"/>
          <w:sz w:val="28"/>
          <w:szCs w:val="28"/>
          <w14:ligatures w14:val="none"/>
        </w:rPr>
        <w:t xml:space="preserve">that followed </w:t>
      </w:r>
      <w:r w:rsidR="005A69B7">
        <w:rPr>
          <w:rFonts w:eastAsia="Arial"/>
          <w:bCs/>
          <w:color w:val="auto"/>
          <w:kern w:val="0"/>
          <w:sz w:val="28"/>
          <w:szCs w:val="28"/>
          <w14:ligatures w14:val="none"/>
        </w:rPr>
        <w:t>began the analysis with an examination of “fundamental fairness”</w:t>
      </w:r>
    </w:p>
    <w:p w14:paraId="172C2B67" w14:textId="22D48059" w:rsidR="000A6451" w:rsidRDefault="000A6451" w:rsidP="000A645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cases recognized that there was simply too great a risk of potential bias or impermissible influence on jury deliberations to allow police officers to sit on criminal juries</w:t>
      </w:r>
    </w:p>
    <w:p w14:paraId="6CB66526" w14:textId="756E7F2C" w:rsidR="000A6451" w:rsidRPr="000A6451" w:rsidRDefault="000A6451" w:rsidP="000A645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lastRenderedPageBreak/>
        <w:t>The cases noted that the questions of potential bias “cannot be erased by a mere subjective, albeit sincere, declaration by the officer that he or she can be fair and impartial as to a particular defendant’s case.”</w:t>
      </w:r>
      <w:r>
        <w:rPr>
          <w:rStyle w:val="EndnoteReference"/>
          <w:rFonts w:eastAsia="Arial"/>
          <w:bCs/>
          <w:kern w:val="0"/>
          <w:szCs w:val="28"/>
          <w14:ligatures w14:val="none"/>
        </w:rPr>
        <w:endnoteReference w:id="5"/>
      </w:r>
    </w:p>
    <w:p w14:paraId="752BA5E7" w14:textId="0659974B" w:rsidR="00B17AAF" w:rsidRDefault="00274D1E" w:rsidP="00C7133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731BA36E">
          <v:rect id="_x0000_i1027" style="width:0;height:1.5pt" o:hralign="center" o:hrstd="t" o:hr="t" fillcolor="#a0a0a0" stroked="f"/>
        </w:pict>
      </w:r>
    </w:p>
    <w:p w14:paraId="6B3C25DA" w14:textId="25C9EE20" w:rsidR="000A6451" w:rsidRDefault="000A6451" w:rsidP="0054544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There may exist a misconception as to who actually qualifies as a “police officer” in this context.</w:t>
      </w:r>
    </w:p>
    <w:p w14:paraId="4EC1007D" w14:textId="5D40AFA7" w:rsidR="000A6451" w:rsidRDefault="000A6451" w:rsidP="000A645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You may recall that we told you we are going to stress the phrase “full-time police officer” because the cases stress that phrase.</w:t>
      </w:r>
    </w:p>
    <w:p w14:paraId="159F808C" w14:textId="5586996D" w:rsidR="00E44F01" w:rsidRDefault="00E44F01" w:rsidP="00E44F0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also want to stress that “full-time police officers” are not “ineligible” to serve – they merely must be excused for cause upon motion by either party</w:t>
      </w:r>
    </w:p>
    <w:p w14:paraId="27B8C8EF" w14:textId="289AE1D8" w:rsidR="00E44F01" w:rsidRDefault="00E44F01" w:rsidP="007C3BA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(But to be candid – the cases seem to use the word “disqualified” or “disqualification” pretty interchangeably with the concept of “strike for cause” so if you say that “full-time police officers” are “disqualified” from serving in a criminal case, there are plenty of </w:t>
      </w:r>
      <w:r w:rsidR="007C3BA0">
        <w:rPr>
          <w:rFonts w:eastAsia="Arial"/>
          <w:bCs/>
          <w:color w:val="auto"/>
          <w:kern w:val="0"/>
          <w:sz w:val="28"/>
          <w:szCs w:val="28"/>
          <w14:ligatures w14:val="none"/>
        </w:rPr>
        <w:t xml:space="preserve">Georgia appellate </w:t>
      </w:r>
      <w:r>
        <w:rPr>
          <w:rFonts w:eastAsia="Arial"/>
          <w:bCs/>
          <w:color w:val="auto"/>
          <w:kern w:val="0"/>
          <w:sz w:val="28"/>
          <w:szCs w:val="28"/>
          <w14:ligatures w14:val="none"/>
        </w:rPr>
        <w:t>cases that use that same phrasing)</w:t>
      </w:r>
    </w:p>
    <w:p w14:paraId="58D6EDBD" w14:textId="790C3497" w:rsidR="00AB0F85" w:rsidRDefault="00AB0F85" w:rsidP="00AB0F8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Some of the cases went further when attempting to define exactly who qualifies as a “full-time police officer” in this context – the cases expanded the definition to “full-time police officers with arrest powers.”</w:t>
      </w:r>
      <w:r>
        <w:rPr>
          <w:rStyle w:val="EndnoteReference"/>
          <w:rFonts w:eastAsia="Arial"/>
          <w:bCs/>
          <w:kern w:val="0"/>
          <w:szCs w:val="28"/>
          <w14:ligatures w14:val="none"/>
        </w:rPr>
        <w:endnoteReference w:id="6"/>
      </w:r>
    </w:p>
    <w:p w14:paraId="644A7A7E" w14:textId="48834937" w:rsidR="00AB0F85" w:rsidRDefault="00AB0F85" w:rsidP="00AB0F8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Because that is a bunch of words, we will use the phrase “full-time police officer” in the following discussion – just understand that the “arrest powers” part may prove to be a useful clarification during voir dire if that becomes relevant to you.</w:t>
      </w:r>
    </w:p>
    <w:p w14:paraId="0CD2DCA3" w14:textId="4AB6E91D" w:rsidR="007C3BA0" w:rsidRDefault="007C3BA0" w:rsidP="007C3BA0">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1559161">
          <v:rect id="_x0000_i1047" style="width:0;height:1.5pt" o:hralign="center" o:hrstd="t" o:hr="t" fillcolor="#a0a0a0" stroked="f"/>
        </w:pict>
      </w:r>
    </w:p>
    <w:p w14:paraId="5EFB3EF2" w14:textId="25755A2B" w:rsidR="000A6451" w:rsidRDefault="000A6451" w:rsidP="000A645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So</w:t>
      </w:r>
      <w:r w:rsidR="007C3BA0">
        <w:rPr>
          <w:rFonts w:eastAsia="Arial"/>
          <w:bCs/>
          <w:color w:val="auto"/>
          <w:kern w:val="0"/>
          <w:sz w:val="28"/>
          <w:szCs w:val="28"/>
          <w14:ligatures w14:val="none"/>
        </w:rPr>
        <w:t>,</w:t>
      </w:r>
      <w:r>
        <w:rPr>
          <w:rFonts w:eastAsia="Arial"/>
          <w:bCs/>
          <w:color w:val="auto"/>
          <w:kern w:val="0"/>
          <w:sz w:val="28"/>
          <w:szCs w:val="28"/>
          <w14:ligatures w14:val="none"/>
        </w:rPr>
        <w:t xml:space="preserve"> the </w:t>
      </w:r>
      <w:r w:rsidR="00E44F01">
        <w:rPr>
          <w:rFonts w:eastAsia="Arial"/>
          <w:bCs/>
          <w:color w:val="auto"/>
          <w:kern w:val="0"/>
          <w:sz w:val="28"/>
          <w:szCs w:val="28"/>
          <w14:ligatures w14:val="none"/>
        </w:rPr>
        <w:t>direction to excuse a “police officer” for cause upon motion of a party</w:t>
      </w:r>
      <w:r>
        <w:rPr>
          <w:rFonts w:eastAsia="Arial"/>
          <w:bCs/>
          <w:color w:val="auto"/>
          <w:kern w:val="0"/>
          <w:sz w:val="28"/>
          <w:szCs w:val="28"/>
          <w14:ligatures w14:val="none"/>
        </w:rPr>
        <w:t xml:space="preserve"> does not apply to </w:t>
      </w:r>
      <w:r w:rsidR="00E44F01">
        <w:rPr>
          <w:rFonts w:eastAsia="Arial"/>
          <w:bCs/>
          <w:color w:val="auto"/>
          <w:kern w:val="0"/>
          <w:sz w:val="28"/>
          <w:szCs w:val="28"/>
          <w14:ligatures w14:val="none"/>
        </w:rPr>
        <w:t>former police officers</w:t>
      </w:r>
      <w:r w:rsidR="00AB0F85">
        <w:rPr>
          <w:rFonts w:eastAsia="Arial"/>
          <w:bCs/>
          <w:color w:val="auto"/>
          <w:kern w:val="0"/>
          <w:sz w:val="28"/>
          <w:szCs w:val="28"/>
          <w14:ligatures w14:val="none"/>
        </w:rPr>
        <w:t xml:space="preserve"> or retired police officers</w:t>
      </w:r>
      <w:r w:rsidR="00E44F01">
        <w:rPr>
          <w:rFonts w:eastAsia="Arial"/>
          <w:bCs/>
          <w:color w:val="auto"/>
          <w:kern w:val="0"/>
          <w:sz w:val="28"/>
          <w:szCs w:val="28"/>
          <w14:ligatures w14:val="none"/>
        </w:rPr>
        <w:t>.</w:t>
      </w:r>
      <w:r w:rsidR="00E44F01">
        <w:rPr>
          <w:rStyle w:val="EndnoteReference"/>
          <w:rFonts w:eastAsia="Arial"/>
          <w:bCs/>
          <w:kern w:val="0"/>
          <w:szCs w:val="28"/>
          <w14:ligatures w14:val="none"/>
        </w:rPr>
        <w:endnoteReference w:id="7"/>
      </w:r>
    </w:p>
    <w:p w14:paraId="7369B608" w14:textId="0C2BF9D2" w:rsidR="00E44F01" w:rsidRDefault="00E44F01" w:rsidP="00E44F0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It does not apply to sworn deputies who only work part-time as auxiliary officers.</w:t>
      </w:r>
      <w:r>
        <w:rPr>
          <w:rStyle w:val="EndnoteReference"/>
          <w:rFonts w:eastAsia="Arial"/>
          <w:bCs/>
          <w:kern w:val="0"/>
          <w:szCs w:val="28"/>
          <w14:ligatures w14:val="none"/>
        </w:rPr>
        <w:endnoteReference w:id="8"/>
      </w:r>
    </w:p>
    <w:p w14:paraId="0E1BA6C3" w14:textId="6534032F" w:rsidR="00E44F01" w:rsidRDefault="00E44F01" w:rsidP="00E44F0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disqualification does not apply to radio operators for a police department or sheriff’s office.</w:t>
      </w:r>
      <w:r>
        <w:rPr>
          <w:rStyle w:val="EndnoteReference"/>
          <w:rFonts w:eastAsia="Arial"/>
          <w:bCs/>
          <w:kern w:val="0"/>
          <w:szCs w:val="28"/>
          <w14:ligatures w14:val="none"/>
        </w:rPr>
        <w:endnoteReference w:id="9"/>
      </w:r>
    </w:p>
    <w:p w14:paraId="176B19AA" w14:textId="449DCCA4" w:rsidR="00E44F01" w:rsidRDefault="00E44F01" w:rsidP="00E44F0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It does not apply to individuals employed by the GBI who work with GCIC or instructors who teach law enforcement officers.</w:t>
      </w:r>
      <w:r>
        <w:rPr>
          <w:rStyle w:val="EndnoteReference"/>
          <w:rFonts w:eastAsia="Arial"/>
          <w:bCs/>
          <w:kern w:val="0"/>
          <w:szCs w:val="28"/>
          <w14:ligatures w14:val="none"/>
        </w:rPr>
        <w:endnoteReference w:id="10"/>
      </w:r>
    </w:p>
    <w:p w14:paraId="74C086B8" w14:textId="145CCB3F" w:rsidR="007C3BA0" w:rsidRDefault="007C3BA0" w:rsidP="007C3BA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The rule does not apply to corrections officers who do not have arrest powers.</w:t>
      </w:r>
      <w:r>
        <w:rPr>
          <w:rStyle w:val="EndnoteReference"/>
          <w:rFonts w:eastAsia="Arial"/>
          <w:bCs/>
          <w:kern w:val="0"/>
          <w:szCs w:val="28"/>
          <w14:ligatures w14:val="none"/>
        </w:rPr>
        <w:endnoteReference w:id="11"/>
      </w:r>
    </w:p>
    <w:p w14:paraId="46EDEF20" w14:textId="3A77B03E" w:rsidR="007C3BA0" w:rsidRDefault="007C3BA0" w:rsidP="007C3BA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The rule does not apply to driver’s license examiners</w:t>
      </w:r>
      <w:r>
        <w:rPr>
          <w:rStyle w:val="EndnoteReference"/>
          <w:rFonts w:eastAsia="Arial"/>
          <w:bCs/>
          <w:kern w:val="0"/>
          <w:szCs w:val="28"/>
          <w14:ligatures w14:val="none"/>
        </w:rPr>
        <w:endnoteReference w:id="12"/>
      </w:r>
    </w:p>
    <w:p w14:paraId="1CB102E8" w14:textId="7401FECC" w:rsidR="007C3BA0" w:rsidRDefault="007C3BA0" w:rsidP="007C3BA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Even where the victim was employed with the Department of Corrections, the fact that a potential juror was also employed with the Dept. of Corrections does not lead to a “blanket disqualification.”</w:t>
      </w:r>
      <w:r>
        <w:rPr>
          <w:rStyle w:val="EndnoteReference"/>
          <w:rFonts w:eastAsia="Arial"/>
          <w:bCs/>
          <w:kern w:val="0"/>
          <w:szCs w:val="28"/>
          <w14:ligatures w14:val="none"/>
        </w:rPr>
        <w:endnoteReference w:id="13"/>
      </w:r>
    </w:p>
    <w:p w14:paraId="0B98BF10" w14:textId="5B6E129C" w:rsidR="007C3BA0" w:rsidRDefault="007C3BA0" w:rsidP="00AB0F8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 rule does not apply to a potential juror who holds a certification as a Georgia Peace Officer but who is not working as a full-time police officer.</w:t>
      </w:r>
      <w:r>
        <w:rPr>
          <w:rStyle w:val="EndnoteReference"/>
          <w:rFonts w:eastAsia="Arial"/>
          <w:bCs/>
          <w:kern w:val="0"/>
          <w:szCs w:val="28"/>
          <w14:ligatures w14:val="none"/>
        </w:rPr>
        <w:endnoteReference w:id="14"/>
      </w:r>
    </w:p>
    <w:p w14:paraId="28CCD333" w14:textId="34AF11A1" w:rsidR="00AB0F85" w:rsidRDefault="00AB0F85" w:rsidP="00AB0F8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rule does not apply to forensic experts employed with the Georgia Crime Lab.</w:t>
      </w:r>
      <w:r>
        <w:rPr>
          <w:rStyle w:val="EndnoteReference"/>
          <w:rFonts w:eastAsia="Arial"/>
          <w:bCs/>
          <w:kern w:val="0"/>
          <w:szCs w:val="28"/>
          <w14:ligatures w14:val="none"/>
        </w:rPr>
        <w:endnoteReference w:id="15"/>
      </w:r>
    </w:p>
    <w:p w14:paraId="3B442382" w14:textId="76B61E86" w:rsidR="00A27AD2" w:rsidRDefault="00A27AD2" w:rsidP="00AB0F85">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7249079E">
          <v:rect id="_x0000_i1049" style="width:0;height:1.5pt" o:hralign="center" o:hrstd="t" o:hr="t" fillcolor="#a0a0a0" stroked="f"/>
        </w:pict>
      </w:r>
    </w:p>
    <w:p w14:paraId="4B53CDAF" w14:textId="2862DA18" w:rsidR="00A27AD2" w:rsidRDefault="00A27AD2" w:rsidP="00AB0F8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But it is </w:t>
      </w:r>
      <w:r>
        <w:rPr>
          <w:rFonts w:eastAsia="Arial"/>
          <w:bCs/>
          <w:i/>
          <w:color w:val="auto"/>
          <w:kern w:val="0"/>
          <w:sz w:val="28"/>
          <w:szCs w:val="28"/>
          <w14:ligatures w14:val="none"/>
        </w:rPr>
        <w:t>reversible error</w:t>
      </w:r>
      <w:r>
        <w:rPr>
          <w:rFonts w:eastAsia="Arial"/>
          <w:bCs/>
          <w:color w:val="auto"/>
          <w:kern w:val="0"/>
          <w:sz w:val="28"/>
          <w:szCs w:val="28"/>
          <w14:ligatures w14:val="none"/>
        </w:rPr>
        <w:t xml:space="preserve"> to refuse to strike for cause a potential juror who is a state patrolman</w:t>
      </w:r>
      <w:r>
        <w:rPr>
          <w:rStyle w:val="EndnoteReference"/>
          <w:rFonts w:eastAsia="Arial"/>
          <w:bCs/>
          <w:kern w:val="0"/>
          <w:szCs w:val="28"/>
          <w14:ligatures w14:val="none"/>
        </w:rPr>
        <w:endnoteReference w:id="16"/>
      </w:r>
      <w:r>
        <w:rPr>
          <w:rFonts w:eastAsia="Arial"/>
          <w:bCs/>
          <w:color w:val="auto"/>
          <w:kern w:val="0"/>
          <w:sz w:val="28"/>
          <w:szCs w:val="28"/>
          <w14:ligatures w14:val="none"/>
        </w:rPr>
        <w:t xml:space="preserve"> or any other “full-time police officer”</w:t>
      </w:r>
      <w:r>
        <w:rPr>
          <w:rStyle w:val="EndnoteReference"/>
          <w:rFonts w:eastAsia="Arial"/>
          <w:bCs/>
          <w:kern w:val="0"/>
          <w:szCs w:val="28"/>
          <w14:ligatures w14:val="none"/>
        </w:rPr>
        <w:endnoteReference w:id="17"/>
      </w:r>
    </w:p>
    <w:p w14:paraId="73559FAF" w14:textId="4D36AD38" w:rsidR="00A27AD2" w:rsidRDefault="00A27AD2" w:rsidP="00A27AD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It makes no difference whether the potential juror is employed with the law enforcement office or department involved in the underlying </w:t>
      </w:r>
      <w:r>
        <w:rPr>
          <w:rFonts w:eastAsia="Arial"/>
          <w:bCs/>
          <w:color w:val="auto"/>
          <w:kern w:val="0"/>
          <w:sz w:val="28"/>
          <w:szCs w:val="28"/>
          <w14:ligatures w14:val="none"/>
        </w:rPr>
        <w:lastRenderedPageBreak/>
        <w:t>case or whether that potential juror had any involvement with the investigation</w:t>
      </w:r>
    </w:p>
    <w:p w14:paraId="45A0239F" w14:textId="589335E2" w:rsidR="00A27AD2" w:rsidRPr="00A27AD2" w:rsidRDefault="00A27AD2" w:rsidP="00A27AD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“Full-time police officers with arrest powers” must be struck for cause upon the motion of either party</w:t>
      </w:r>
    </w:p>
    <w:p w14:paraId="3AA9D2CC" w14:textId="3EC3B98F" w:rsidR="00B146E1" w:rsidRDefault="00B146E1" w:rsidP="00AB0F85">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B044B26">
          <v:rect id="_x0000_i1048" style="width:0;height:1.5pt" o:hralign="center" o:hrstd="t" o:hr="t" fillcolor="#a0a0a0" stroked="f"/>
        </w:pict>
      </w:r>
    </w:p>
    <w:p w14:paraId="00448669" w14:textId="035736B7" w:rsidR="00B146E1" w:rsidRDefault="00B146E1" w:rsidP="00AB0F8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Over time, we have seen both lawyers and judges who misunderstood the term “police officer” </w:t>
      </w:r>
      <w:r w:rsidR="00A27AD2">
        <w:rPr>
          <w:rFonts w:eastAsia="Arial"/>
          <w:bCs/>
          <w:color w:val="auto"/>
          <w:kern w:val="0"/>
          <w:sz w:val="28"/>
          <w:szCs w:val="28"/>
          <w14:ligatures w14:val="none"/>
        </w:rPr>
        <w:t xml:space="preserve">in relation to juror service </w:t>
      </w:r>
      <w:r>
        <w:rPr>
          <w:rFonts w:eastAsia="Arial"/>
          <w:bCs/>
          <w:color w:val="auto"/>
          <w:kern w:val="0"/>
          <w:sz w:val="28"/>
          <w:szCs w:val="28"/>
          <w14:ligatures w14:val="none"/>
        </w:rPr>
        <w:t xml:space="preserve">and believed that anyone employed in any law enforcement capacity </w:t>
      </w:r>
      <w:r w:rsidR="00A27AD2">
        <w:rPr>
          <w:rFonts w:eastAsia="Arial"/>
          <w:bCs/>
          <w:color w:val="auto"/>
          <w:kern w:val="0"/>
          <w:sz w:val="28"/>
          <w:szCs w:val="28"/>
          <w14:ligatures w14:val="none"/>
        </w:rPr>
        <w:t xml:space="preserve">or by any law enforcement agency </w:t>
      </w:r>
      <w:r>
        <w:rPr>
          <w:rFonts w:eastAsia="Arial"/>
          <w:bCs/>
          <w:color w:val="auto"/>
          <w:kern w:val="0"/>
          <w:sz w:val="28"/>
          <w:szCs w:val="28"/>
          <w14:ligatures w14:val="none"/>
        </w:rPr>
        <w:t>must be excused for cause.  As noted above, that is simply not the case.</w:t>
      </w:r>
    </w:p>
    <w:p w14:paraId="3B7876E9" w14:textId="1496FFD9" w:rsidR="00B146E1" w:rsidRDefault="00B146E1" w:rsidP="00B146E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The cases specifically note that while the principle announced in the </w:t>
      </w:r>
      <w:r>
        <w:rPr>
          <w:rFonts w:eastAsia="Arial"/>
          <w:bCs/>
          <w:i/>
          <w:color w:val="auto"/>
          <w:kern w:val="0"/>
          <w:sz w:val="28"/>
          <w:szCs w:val="28"/>
          <w14:ligatures w14:val="none"/>
        </w:rPr>
        <w:t>Hutcheson</w:t>
      </w:r>
      <w:r>
        <w:rPr>
          <w:rFonts w:eastAsia="Arial"/>
          <w:bCs/>
          <w:color w:val="auto"/>
          <w:kern w:val="0"/>
          <w:sz w:val="28"/>
          <w:szCs w:val="28"/>
          <w14:ligatures w14:val="none"/>
        </w:rPr>
        <w:t xml:space="preserve"> decision remains valid law, “we have refused to extend the automatic disqualification rule in </w:t>
      </w:r>
      <w:r>
        <w:rPr>
          <w:rFonts w:eastAsia="Arial"/>
          <w:bCs/>
          <w:i/>
          <w:color w:val="auto"/>
          <w:kern w:val="0"/>
          <w:sz w:val="28"/>
          <w:szCs w:val="28"/>
          <w14:ligatures w14:val="none"/>
        </w:rPr>
        <w:t>Hutcheson</w:t>
      </w:r>
      <w:r>
        <w:rPr>
          <w:rFonts w:eastAsia="Arial"/>
          <w:bCs/>
          <w:color w:val="auto"/>
          <w:kern w:val="0"/>
          <w:sz w:val="28"/>
          <w:szCs w:val="28"/>
          <w14:ligatures w14:val="none"/>
        </w:rPr>
        <w:t xml:space="preserve"> to those less connected with law enforcement than full-time police officers.”</w:t>
      </w:r>
      <w:r>
        <w:rPr>
          <w:rStyle w:val="EndnoteReference"/>
          <w:rFonts w:eastAsia="Arial"/>
          <w:bCs/>
          <w:kern w:val="0"/>
          <w:szCs w:val="28"/>
          <w14:ligatures w14:val="none"/>
        </w:rPr>
        <w:endnoteReference w:id="18"/>
      </w:r>
    </w:p>
    <w:p w14:paraId="7FE1F036" w14:textId="652B52C7" w:rsidR="00B146E1" w:rsidRDefault="00B146E1" w:rsidP="00B146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All of the prior discussion presumes one point that we need to make clear – the potential juror in each of the cases cited previously stated that their employment would not impact their ability to consider the facts of the case </w:t>
      </w:r>
      <w:r>
        <w:rPr>
          <w:rFonts w:eastAsia="Arial"/>
          <w:bCs/>
          <w:color w:val="auto"/>
          <w:kern w:val="0"/>
          <w:sz w:val="28"/>
          <w:szCs w:val="28"/>
          <w14:ligatures w14:val="none"/>
        </w:rPr>
        <w:lastRenderedPageBreak/>
        <w:t>fairly and impartially and that their employment would not influence their deliberations.</w:t>
      </w:r>
      <w:r>
        <w:rPr>
          <w:rStyle w:val="EndnoteReference"/>
          <w:rFonts w:eastAsia="Arial"/>
          <w:bCs/>
          <w:kern w:val="0"/>
          <w:szCs w:val="28"/>
          <w14:ligatures w14:val="none"/>
        </w:rPr>
        <w:endnoteReference w:id="19"/>
      </w:r>
    </w:p>
    <w:p w14:paraId="4A1394DA" w14:textId="59BC2586" w:rsidR="00B146E1" w:rsidRDefault="00B146E1" w:rsidP="00B146E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If the potential juror states that he/she cannot be impartial – for whatever reason – including because of their employment – it does not matter where they work of if that person is retired – they must be excused for cause.  </w:t>
      </w:r>
    </w:p>
    <w:p w14:paraId="21F86823" w14:textId="661544D5" w:rsidR="00B146E1" w:rsidRDefault="00B146E1" w:rsidP="00B146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hope you are completely clear on the difference between</w:t>
      </w:r>
      <w:r w:rsidR="00A27AD2">
        <w:rPr>
          <w:rFonts w:eastAsia="Arial"/>
          <w:bCs/>
          <w:color w:val="auto"/>
          <w:kern w:val="0"/>
          <w:sz w:val="28"/>
          <w:szCs w:val="28"/>
          <w14:ligatures w14:val="none"/>
        </w:rPr>
        <w:t xml:space="preserve"> a blanket disqualification which applies to “full-time police officers” and a “for cause” challenge that is the product of bias any potential juror has – regardless of his/her employment</w:t>
      </w:r>
    </w:p>
    <w:p w14:paraId="58FE9372" w14:textId="56ACDDDB" w:rsidR="00A27AD2" w:rsidRDefault="00A27AD2" w:rsidP="00B146E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2E2B857D">
          <v:rect id="_x0000_i1050" style="width:0;height:1.5pt" o:hralign="center" o:hrstd="t" o:hr="t" fillcolor="#a0a0a0" stroked="f"/>
        </w:pict>
      </w:r>
    </w:p>
    <w:p w14:paraId="27B6746D" w14:textId="77E1E514" w:rsidR="00A27AD2" w:rsidRDefault="00A27AD2" w:rsidP="00B146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Typically, when asking the basic qualification questions to a voir dire panel, I will ask whether there is anyone on the panel who is a “full-time police officer with arrest powers” or whether anyone is P.O.S.T. Certified with arrest powers (although I realize the latter description may not adequately identify all potential strikes)</w:t>
      </w:r>
    </w:p>
    <w:p w14:paraId="301E2E39" w14:textId="42222D83" w:rsidR="00A27AD2" w:rsidRDefault="00A27AD2" w:rsidP="00A27AD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If a full-time police officer identifies himself/herself, I will ask the lawyers if they wish to ask that potential juror any additional </w:t>
      </w:r>
      <w:r>
        <w:rPr>
          <w:rFonts w:eastAsia="Arial"/>
          <w:bCs/>
          <w:color w:val="auto"/>
          <w:kern w:val="0"/>
          <w:sz w:val="28"/>
          <w:szCs w:val="28"/>
          <w14:ligatures w14:val="none"/>
        </w:rPr>
        <w:lastRenderedPageBreak/>
        <w:t>questions and then will ask if they wish to dismiss that juror for cause (“dismiss” sounds better than “strike”)</w:t>
      </w:r>
    </w:p>
    <w:p w14:paraId="3438CFC9" w14:textId="0863F0B1" w:rsidR="00CA08DF" w:rsidRDefault="00CA08DF" w:rsidP="00CA08DF">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01E34F40">
          <v:rect id="_x0000_i1051" style="width:0;height:1.5pt" o:hralign="center" o:hrstd="t" o:hr="t" fillcolor="#a0a0a0" stroked="f"/>
        </w:pict>
      </w:r>
    </w:p>
    <w:p w14:paraId="14972B22" w14:textId="6E099E3B" w:rsidR="00CA08DF" w:rsidRDefault="00CA08DF" w:rsidP="00CA08D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reason this issue arose recently bears some discussion today.  A jailer at our local jail expressed some concern (off-line and through the Sheriff – not during the voir dire process) about having to reveal his personal data during voir dire</w:t>
      </w:r>
    </w:p>
    <w:p w14:paraId="02082956" w14:textId="013B32FC" w:rsidR="00CA08DF" w:rsidRDefault="00CA08DF" w:rsidP="00CA08D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He believed (incorrectly) that he was “immune” for serving as a juror</w:t>
      </w:r>
    </w:p>
    <w:p w14:paraId="571FABD0" w14:textId="7E7FC236" w:rsidR="00CA08DF" w:rsidRDefault="00CA08DF" w:rsidP="00CA08D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bigger issue that he raised is what I want to discuss here – the fact that his name, home address, etc. was included in the information provided to the parties for the purpose of voir dire</w:t>
      </w:r>
    </w:p>
    <w:p w14:paraId="064A85E9" w14:textId="3CADC36E" w:rsidR="00CA08DF" w:rsidRDefault="00CA08DF" w:rsidP="00CA08D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And I am not wholly sure how to address the issue – giving an individual who is presently incarcerated in our local jail easy access to a jailer’s personal data seems problematic</w:t>
      </w:r>
    </w:p>
    <w:p w14:paraId="712F198A" w14:textId="6094D0FE" w:rsidR="00CA08DF" w:rsidRDefault="00CA08DF" w:rsidP="00CA08D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That point was made on the heels of a sentencing I recently conducted of a former jailer who entered a guilty plea to providing contraband to an inmate and violation of oath of office – whether it is true or not, he claimed that he </w:t>
      </w:r>
      <w:r>
        <w:rPr>
          <w:rFonts w:eastAsia="Arial"/>
          <w:bCs/>
          <w:color w:val="auto"/>
          <w:kern w:val="0"/>
          <w:sz w:val="28"/>
          <w:szCs w:val="28"/>
          <w14:ligatures w14:val="none"/>
        </w:rPr>
        <w:lastRenderedPageBreak/>
        <w:t>was threatened with harm/harm to his family by an inmate who described to him his home, home address, etc. and instead of reporting the incident, the defendant decided to become a co-conspirator with the inmate in sneaking contraband into the jail</w:t>
      </w:r>
    </w:p>
    <w:p w14:paraId="29BD3570" w14:textId="5D5C8D08" w:rsidR="000A6451" w:rsidRDefault="00CA08DF" w:rsidP="0054544B">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[DISCUSS]</w:t>
      </w:r>
    </w:p>
    <w:p w14:paraId="0B5BBCE5" w14:textId="52BD8D12" w:rsidR="00B355CB" w:rsidRPr="00916422" w:rsidRDefault="00274D1E" w:rsidP="00916422">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4BB5D328">
          <v:rect id="_x0000_i1028" style="width:0;height:1.5pt" o:hralign="center" o:hrstd="t" o:hr="t" fillcolor="#a0a0a0" stroked="f"/>
        </w:pict>
      </w:r>
    </w:p>
    <w:p w14:paraId="609BF498" w14:textId="43AFFD47" w:rsidR="00E078AF" w:rsidRDefault="00E078AF"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So </w:t>
      </w:r>
      <w:r w:rsidR="00CA08DF">
        <w:rPr>
          <w:rFonts w:eastAsia="Arial"/>
          <w:bCs/>
          <w:color w:val="auto"/>
          <w:kern w:val="0"/>
          <w:sz w:val="28"/>
          <w:szCs w:val="28"/>
          <w14:ligatures w14:val="none"/>
        </w:rPr>
        <w:t>that’s all for today’s discussion of juror qualification in criminal cases with a focus on police officers</w:t>
      </w:r>
    </w:p>
    <w:p w14:paraId="519462CF" w14:textId="6D6AE647" w:rsidR="00CA08DF" w:rsidRPr="00CA08DF" w:rsidRDefault="00CA08DF" w:rsidP="00DC02E1">
      <w:pPr>
        <w:spacing w:before="120" w:after="240" w:line="480" w:lineRule="auto"/>
        <w:ind w:right="720"/>
        <w:rPr>
          <w:rFonts w:eastAsia="Arial"/>
          <w:bCs/>
          <w:i/>
          <w:color w:val="auto"/>
          <w:kern w:val="0"/>
          <w:sz w:val="28"/>
          <w:szCs w:val="28"/>
          <w14:ligatures w14:val="none"/>
        </w:rPr>
      </w:pPr>
      <w:r>
        <w:rPr>
          <w:rFonts w:eastAsia="Arial"/>
          <w:bCs/>
          <w:i/>
          <w:color w:val="auto"/>
          <w:kern w:val="0"/>
          <w:sz w:val="28"/>
          <w:szCs w:val="28"/>
          <w14:ligatures w14:val="none"/>
        </w:rPr>
        <w:t>Remember, the phrase “full-time police officer with arrest powers” will probably answer the question for you as to whether the potential juror must be excluded for cause</w:t>
      </w:r>
    </w:p>
    <w:p w14:paraId="3BD961E8" w14:textId="2438752F" w:rsidR="00CA7A2F" w:rsidRDefault="00CA08DF" w:rsidP="00CA7A2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Not everyone who has ever worked for a law enforcement agency is disqualified to serve – the parties may choose to strike that person with a peremptory challenge – but </w:t>
      </w:r>
      <w:r w:rsidR="005D7F62">
        <w:rPr>
          <w:rFonts w:eastAsia="Arial"/>
          <w:bCs/>
          <w:color w:val="auto"/>
          <w:kern w:val="0"/>
          <w:sz w:val="28"/>
          <w:szCs w:val="28"/>
          <w14:ligatures w14:val="none"/>
        </w:rPr>
        <w:t>it</w:t>
      </w:r>
      <w:r>
        <w:rPr>
          <w:rFonts w:eastAsia="Arial"/>
          <w:bCs/>
          <w:color w:val="auto"/>
          <w:kern w:val="0"/>
          <w:sz w:val="28"/>
          <w:szCs w:val="28"/>
          <w14:ligatures w14:val="none"/>
        </w:rPr>
        <w:t xml:space="preserve"> may not be a “for cause”</w:t>
      </w:r>
      <w:r w:rsidR="005D7F62">
        <w:rPr>
          <w:rFonts w:eastAsia="Arial"/>
          <w:bCs/>
          <w:color w:val="auto"/>
          <w:kern w:val="0"/>
          <w:sz w:val="28"/>
          <w:szCs w:val="28"/>
          <w14:ligatures w14:val="none"/>
        </w:rPr>
        <w:t xml:space="preserve"> strike if the potential juror</w:t>
      </w:r>
      <w:r>
        <w:rPr>
          <w:rFonts w:eastAsia="Arial"/>
          <w:bCs/>
          <w:color w:val="auto"/>
          <w:kern w:val="0"/>
          <w:sz w:val="28"/>
          <w:szCs w:val="28"/>
          <w14:ligatures w14:val="none"/>
        </w:rPr>
        <w:t xml:space="preserve"> indicate</w:t>
      </w:r>
      <w:r w:rsidR="005D7F62">
        <w:rPr>
          <w:rFonts w:eastAsia="Arial"/>
          <w:bCs/>
          <w:color w:val="auto"/>
          <w:kern w:val="0"/>
          <w:sz w:val="28"/>
          <w:szCs w:val="28"/>
          <w14:ligatures w14:val="none"/>
        </w:rPr>
        <w:t>s he/she</w:t>
      </w:r>
      <w:r>
        <w:rPr>
          <w:rFonts w:eastAsia="Arial"/>
          <w:bCs/>
          <w:color w:val="auto"/>
          <w:kern w:val="0"/>
          <w:sz w:val="28"/>
          <w:szCs w:val="28"/>
          <w14:ligatures w14:val="none"/>
        </w:rPr>
        <w:t xml:space="preserve"> can be fair and impartial</w:t>
      </w:r>
      <w:r w:rsidR="005D7F62">
        <w:rPr>
          <w:rFonts w:eastAsia="Arial"/>
          <w:bCs/>
          <w:color w:val="auto"/>
          <w:kern w:val="0"/>
          <w:sz w:val="28"/>
          <w:szCs w:val="28"/>
          <w14:ligatures w14:val="none"/>
        </w:rPr>
        <w:t>,</w:t>
      </w:r>
      <w:r>
        <w:rPr>
          <w:rFonts w:eastAsia="Arial"/>
          <w:bCs/>
          <w:color w:val="auto"/>
          <w:kern w:val="0"/>
          <w:sz w:val="28"/>
          <w:szCs w:val="28"/>
          <w14:ligatures w14:val="none"/>
        </w:rPr>
        <w:t xml:space="preserve"> despite their employment</w:t>
      </w:r>
    </w:p>
    <w:p w14:paraId="28936825" w14:textId="0CF228CC" w:rsidR="00CA7A2F" w:rsidRDefault="00CA7A2F" w:rsidP="00CA7A2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Send us your thoughts and ideas at </w:t>
      </w:r>
      <w:hyperlink r:id="rId8" w:history="1">
        <w:r w:rsidRPr="00131A5E">
          <w:rPr>
            <w:rStyle w:val="Hyperlink"/>
            <w:rFonts w:eastAsia="Arial"/>
            <w:bCs/>
            <w:kern w:val="0"/>
            <w:sz w:val="28"/>
            <w:szCs w:val="28"/>
            <w14:ligatures w14:val="none"/>
          </w:rPr>
          <w:t>goodjudgepod@gmail.com</w:t>
        </w:r>
      </w:hyperlink>
    </w:p>
    <w:p w14:paraId="5B46A2A6" w14:textId="2197CF9E" w:rsidR="00CA7A2F" w:rsidRDefault="00CA7A2F" w:rsidP="00CA7A2F">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This episode outline is available on goodjudgepod.com</w:t>
      </w:r>
    </w:p>
    <w:p w14:paraId="3B8F99C6" w14:textId="07A0B4BB" w:rsidR="00FB3481" w:rsidRDefault="0060514B" w:rsidP="00FB3481">
      <w:pPr>
        <w:spacing w:before="120" w:after="240" w:line="480" w:lineRule="auto"/>
        <w:ind w:right="720" w:firstLine="720"/>
        <w:rPr>
          <w:rFonts w:eastAsia="Arial"/>
          <w:bCs/>
          <w:i/>
          <w:iCs/>
          <w:color w:val="auto"/>
          <w:kern w:val="0"/>
          <w:sz w:val="28"/>
          <w:szCs w:val="28"/>
          <w14:ligatures w14:val="none"/>
        </w:rPr>
      </w:pPr>
      <w:r>
        <w:rPr>
          <w:rFonts w:eastAsia="Arial"/>
          <w:bCs/>
          <w:i/>
          <w:iCs/>
          <w:color w:val="auto"/>
          <w:kern w:val="0"/>
          <w:sz w:val="28"/>
          <w:szCs w:val="28"/>
          <w14:ligatures w14:val="none"/>
        </w:rPr>
        <w:lastRenderedPageBreak/>
        <w:t xml:space="preserve">Music trivia for today – </w:t>
      </w:r>
      <w:r w:rsidR="005D7F62">
        <w:rPr>
          <w:rFonts w:eastAsia="Arial"/>
          <w:bCs/>
          <w:i/>
          <w:iCs/>
          <w:color w:val="auto"/>
          <w:kern w:val="0"/>
          <w:sz w:val="28"/>
          <w:szCs w:val="28"/>
          <w14:ligatures w14:val="none"/>
        </w:rPr>
        <w:t>we really should have kept track of the music topics we have covered because we may end up overlapping after a while.  Anyway, today’s music trivia topic is “one hit wonders.”</w:t>
      </w:r>
      <w:r w:rsidR="004D4931">
        <w:rPr>
          <w:rFonts w:eastAsia="Arial"/>
          <w:bCs/>
          <w:i/>
          <w:iCs/>
          <w:color w:val="auto"/>
          <w:kern w:val="0"/>
          <w:sz w:val="28"/>
          <w:szCs w:val="28"/>
          <w14:ligatures w14:val="none"/>
        </w:rPr>
        <w:t xml:space="preserve">  </w:t>
      </w:r>
      <w:r w:rsidR="007835FF">
        <w:rPr>
          <w:rFonts w:eastAsia="Arial"/>
          <w:bCs/>
          <w:i/>
          <w:iCs/>
          <w:color w:val="auto"/>
          <w:kern w:val="0"/>
          <w:sz w:val="28"/>
          <w:szCs w:val="28"/>
          <w14:ligatures w14:val="none"/>
        </w:rPr>
        <w:t>Embarrassingly</w:t>
      </w:r>
      <w:r w:rsidR="005D7F62">
        <w:rPr>
          <w:rFonts w:eastAsia="Arial"/>
          <w:bCs/>
          <w:i/>
          <w:iCs/>
          <w:color w:val="auto"/>
          <w:kern w:val="0"/>
          <w:sz w:val="28"/>
          <w:szCs w:val="28"/>
          <w14:ligatures w14:val="none"/>
        </w:rPr>
        <w:t xml:space="preserve">, there were a bunch of one hit wonders in the 1980’s and 1990’s.  What was the name of the band that sang the ear worn, “Safety Dance?”  </w:t>
      </w:r>
      <w:r w:rsidR="00FB3481">
        <w:rPr>
          <w:rFonts w:eastAsia="Arial"/>
          <w:bCs/>
          <w:i/>
          <w:iCs/>
          <w:color w:val="auto"/>
          <w:kern w:val="0"/>
          <w:sz w:val="28"/>
          <w:szCs w:val="28"/>
          <w14:ligatures w14:val="none"/>
        </w:rPr>
        <w:t xml:space="preserve">The answer is </w:t>
      </w:r>
      <w:r w:rsidR="005D7F62" w:rsidRPr="00FB3481">
        <w:rPr>
          <w:rFonts w:eastAsia="Arial"/>
          <w:bCs/>
          <w:i/>
          <w:iCs/>
          <w:color w:val="auto"/>
          <w:kern w:val="0"/>
          <w:sz w:val="28"/>
          <w:szCs w:val="28"/>
          <w:u w:val="single"/>
          <w14:ligatures w14:val="none"/>
        </w:rPr>
        <w:t>Not</w:t>
      </w:r>
      <w:r w:rsidR="005D7F62" w:rsidRPr="00FB3481">
        <w:rPr>
          <w:rFonts w:eastAsia="Arial"/>
          <w:bCs/>
          <w:iCs/>
          <w:color w:val="auto"/>
          <w:kern w:val="0"/>
          <w:sz w:val="28"/>
          <w:szCs w:val="28"/>
          <w14:ligatures w14:val="none"/>
        </w:rPr>
        <w:t xml:space="preserve"> </w:t>
      </w:r>
      <w:r w:rsidR="005D7F62">
        <w:rPr>
          <w:rFonts w:eastAsia="Arial"/>
          <w:bCs/>
          <w:i/>
          <w:iCs/>
          <w:color w:val="auto"/>
          <w:kern w:val="0"/>
          <w:sz w:val="28"/>
          <w:szCs w:val="28"/>
          <w14:ligatures w14:val="none"/>
        </w:rPr>
        <w:t>DEVO –</w:t>
      </w:r>
      <w:r w:rsidR="007835FF">
        <w:rPr>
          <w:rFonts w:eastAsia="Arial"/>
          <w:bCs/>
          <w:i/>
          <w:iCs/>
          <w:color w:val="auto"/>
          <w:kern w:val="0"/>
          <w:sz w:val="28"/>
          <w:szCs w:val="28"/>
          <w14:ligatures w14:val="none"/>
        </w:rPr>
        <w:t xml:space="preserve"> G</w:t>
      </w:r>
      <w:r w:rsidR="005D7F62">
        <w:rPr>
          <w:rFonts w:eastAsia="Arial"/>
          <w:bCs/>
          <w:i/>
          <w:iCs/>
          <w:color w:val="auto"/>
          <w:kern w:val="0"/>
          <w:sz w:val="28"/>
          <w:szCs w:val="28"/>
          <w14:ligatures w14:val="none"/>
        </w:rPr>
        <w:t xml:space="preserve">ive up?  Men Without Hats.  They must have spent days trying to come up with a name for their band.  Ok, another question from the 1980’s.  “Come on Eileen” was another ear worm that differed from most 1980’s pop hits because instead of synthesizers, it had a banjo, accordion and fiddle featured in the song.  So who </w:t>
      </w:r>
      <w:r w:rsidR="007835FF">
        <w:rPr>
          <w:rFonts w:eastAsia="Arial"/>
          <w:bCs/>
          <w:i/>
          <w:iCs/>
          <w:color w:val="auto"/>
          <w:kern w:val="0"/>
          <w:sz w:val="28"/>
          <w:szCs w:val="28"/>
          <w14:ligatures w14:val="none"/>
        </w:rPr>
        <w:t>sang the #1 hit, “Come on Eileen?”  Dexy’</w:t>
      </w:r>
      <w:r w:rsidR="00FB3481">
        <w:rPr>
          <w:rFonts w:eastAsia="Arial"/>
          <w:bCs/>
          <w:i/>
          <w:iCs/>
          <w:color w:val="auto"/>
          <w:kern w:val="0"/>
          <w:sz w:val="28"/>
          <w:szCs w:val="28"/>
          <w14:ligatures w14:val="none"/>
        </w:rPr>
        <w:t>s Midnight Runners.</w:t>
      </w:r>
    </w:p>
    <w:p w14:paraId="2BACAF26" w14:textId="7794CE40" w:rsidR="005D7F62" w:rsidRDefault="007835FF" w:rsidP="00FB3481">
      <w:pPr>
        <w:spacing w:before="120" w:after="240" w:line="480" w:lineRule="auto"/>
        <w:ind w:right="720" w:firstLine="720"/>
        <w:rPr>
          <w:rFonts w:eastAsia="Arial"/>
          <w:bCs/>
          <w:i/>
          <w:iCs/>
          <w:color w:val="auto"/>
          <w:kern w:val="0"/>
          <w:sz w:val="28"/>
          <w:szCs w:val="28"/>
          <w14:ligatures w14:val="none"/>
        </w:rPr>
      </w:pPr>
      <w:r>
        <w:rPr>
          <w:rFonts w:eastAsia="Arial"/>
          <w:bCs/>
          <w:i/>
          <w:iCs/>
          <w:color w:val="auto"/>
          <w:kern w:val="0"/>
          <w:sz w:val="28"/>
          <w:szCs w:val="28"/>
          <w14:ligatures w14:val="none"/>
        </w:rPr>
        <w:t>Jump to the 1990’s and one hit wonders from that decade.  Prince loaned a song to a female singer who gained international notoriety for all the wrong reasons (and who recently passed away – RIP).  The song began with the line, “It’s been seven hours and fifteen days….”  Who sang that song?  Sinead O’Connor</w:t>
      </w:r>
      <w:r w:rsidR="00FB3481">
        <w:rPr>
          <w:rFonts w:eastAsia="Arial"/>
          <w:bCs/>
          <w:i/>
          <w:iCs/>
          <w:color w:val="auto"/>
          <w:kern w:val="0"/>
          <w:sz w:val="28"/>
          <w:szCs w:val="28"/>
          <w14:ligatures w14:val="none"/>
        </w:rPr>
        <w:t xml:space="preserve"> (the song was “Noting Compares 2 U”)</w:t>
      </w:r>
      <w:r>
        <w:rPr>
          <w:rFonts w:eastAsia="Arial"/>
          <w:bCs/>
          <w:i/>
          <w:iCs/>
          <w:color w:val="auto"/>
          <w:kern w:val="0"/>
          <w:sz w:val="28"/>
          <w:szCs w:val="28"/>
          <w14:ligatures w14:val="none"/>
        </w:rPr>
        <w:t>.  Finally, a famous hit included the verse, “I get down, but I get up again.”  The band had a unique name – do you remember what it was?  Chumbawumba.  Cousin of Chewbacca – just kidding.</w:t>
      </w:r>
      <w:r w:rsidR="00FB3481">
        <w:rPr>
          <w:rFonts w:eastAsia="Arial"/>
          <w:bCs/>
          <w:i/>
          <w:iCs/>
          <w:color w:val="auto"/>
          <w:kern w:val="0"/>
          <w:sz w:val="28"/>
          <w:szCs w:val="28"/>
          <w14:ligatures w14:val="none"/>
        </w:rPr>
        <w:t xml:space="preserve">  Here’s the hard part of the question.  </w:t>
      </w:r>
      <w:r w:rsidR="00FB3481">
        <w:rPr>
          <w:rFonts w:eastAsia="Arial"/>
          <w:bCs/>
          <w:i/>
          <w:iCs/>
          <w:color w:val="auto"/>
          <w:kern w:val="0"/>
          <w:sz w:val="28"/>
          <w:szCs w:val="28"/>
          <w14:ligatures w14:val="none"/>
        </w:rPr>
        <w:lastRenderedPageBreak/>
        <w:t>What was the name of that song? Give up?  Tubthumping.  No idea what that title has to do with getting up again but, anyway….</w:t>
      </w:r>
      <w:bookmarkStart w:id="2" w:name="_GoBack"/>
      <w:bookmarkEnd w:id="2"/>
    </w:p>
    <w:p w14:paraId="46C2FAD8" w14:textId="0CC22A3C" w:rsidR="00CA7A2F" w:rsidRPr="00CA7A2F" w:rsidRDefault="004D4931" w:rsidP="00FB3481">
      <w:pPr>
        <w:spacing w:before="120" w:after="240" w:line="480" w:lineRule="auto"/>
        <w:ind w:right="720" w:firstLine="720"/>
        <w:rPr>
          <w:rFonts w:eastAsia="Arial"/>
          <w:bCs/>
          <w:i/>
          <w:iCs/>
          <w:color w:val="auto"/>
          <w:kern w:val="0"/>
          <w:sz w:val="28"/>
          <w:szCs w:val="28"/>
          <w14:ligatures w14:val="none"/>
        </w:rPr>
      </w:pPr>
      <w:r>
        <w:rPr>
          <w:rFonts w:eastAsia="Arial"/>
          <w:bCs/>
          <w:i/>
          <w:iCs/>
          <w:color w:val="auto"/>
          <w:kern w:val="0"/>
          <w:sz w:val="28"/>
          <w:szCs w:val="28"/>
          <w14:ligatures w14:val="none"/>
        </w:rPr>
        <w:t>We are just full of useless information here at the Good Judge-Ment Podcast.</w:t>
      </w:r>
      <w:r w:rsidR="007835FF">
        <w:rPr>
          <w:rFonts w:eastAsia="Arial"/>
          <w:bCs/>
          <w:i/>
          <w:iCs/>
          <w:color w:val="auto"/>
          <w:kern w:val="0"/>
          <w:sz w:val="28"/>
          <w:szCs w:val="28"/>
          <w14:ligatures w14:val="none"/>
        </w:rPr>
        <w:t xml:space="preserve">  Thanks for listening.</w:t>
      </w:r>
    </w:p>
    <w:bookmarkEnd w:id="1"/>
    <w:p w14:paraId="79C2B610" w14:textId="77777777" w:rsidR="00CA7A2F" w:rsidRPr="00CA7A2F" w:rsidRDefault="00CA7A2F" w:rsidP="00CA7A2F">
      <w:pPr>
        <w:spacing w:before="120" w:after="240" w:line="480" w:lineRule="auto"/>
        <w:ind w:right="720"/>
        <w:rPr>
          <w:rFonts w:eastAsia="Arial"/>
          <w:b/>
          <w:color w:val="auto"/>
          <w:kern w:val="0"/>
          <w:sz w:val="28"/>
          <w:szCs w:val="28"/>
          <w14:ligatures w14:val="none"/>
        </w:rPr>
      </w:pPr>
    </w:p>
    <w:sectPr w:rsidR="00CA7A2F" w:rsidRPr="00CA7A2F" w:rsidSect="00555CD3">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7049" w14:textId="77777777" w:rsidR="00274D1E" w:rsidRDefault="00274D1E" w:rsidP="00A52F35">
      <w:r>
        <w:separator/>
      </w:r>
    </w:p>
  </w:endnote>
  <w:endnote w:type="continuationSeparator" w:id="0">
    <w:p w14:paraId="75FFE3AB" w14:textId="77777777" w:rsidR="00274D1E" w:rsidRDefault="00274D1E" w:rsidP="00A52F35">
      <w:r>
        <w:continuationSeparator/>
      </w:r>
    </w:p>
  </w:endnote>
  <w:endnote w:id="1">
    <w:p w14:paraId="56EC643A" w14:textId="70B95CA1" w:rsidR="000B158F" w:rsidRDefault="000B158F">
      <w:pPr>
        <w:pStyle w:val="EndnoteText"/>
      </w:pPr>
      <w:r>
        <w:rPr>
          <w:rStyle w:val="EndnoteReference"/>
        </w:rPr>
        <w:endnoteRef/>
      </w:r>
      <w:r>
        <w:t xml:space="preserve"> O.C.G.A. § 15-12-1.1(a)(1).</w:t>
      </w:r>
    </w:p>
  </w:endnote>
  <w:endnote w:id="2">
    <w:p w14:paraId="10B29B63" w14:textId="73C30626" w:rsidR="000B158F" w:rsidRDefault="000B158F">
      <w:pPr>
        <w:pStyle w:val="EndnoteText"/>
      </w:pPr>
      <w:r>
        <w:rPr>
          <w:rStyle w:val="EndnoteReference"/>
        </w:rPr>
        <w:endnoteRef/>
      </w:r>
      <w:r>
        <w:t xml:space="preserve"> O.C.G.A. § 15-12-1.1(a)(2) – (c)(2).</w:t>
      </w:r>
    </w:p>
  </w:endnote>
  <w:endnote w:id="3">
    <w:p w14:paraId="0B2C1EFF" w14:textId="55035020" w:rsidR="005A69B7" w:rsidRPr="005A69B7" w:rsidRDefault="005A69B7">
      <w:pPr>
        <w:pStyle w:val="EndnoteText"/>
      </w:pPr>
      <w:r>
        <w:rPr>
          <w:rStyle w:val="EndnoteReference"/>
        </w:rPr>
        <w:endnoteRef/>
      </w:r>
      <w:r>
        <w:t xml:space="preserve"> </w:t>
      </w:r>
      <w:r>
        <w:rPr>
          <w:i/>
        </w:rPr>
        <w:t>Hutcheson v. State</w:t>
      </w:r>
      <w:r>
        <w:t>, 246 Ga. 13 (1980), discussing prior statute Code Ann. 59-112.</w:t>
      </w:r>
    </w:p>
  </w:endnote>
  <w:endnote w:id="4">
    <w:p w14:paraId="400DB3CE" w14:textId="62F4EE0F" w:rsidR="005A69B7" w:rsidRPr="005A69B7" w:rsidRDefault="005A69B7">
      <w:pPr>
        <w:pStyle w:val="EndnoteText"/>
      </w:pPr>
      <w:r>
        <w:rPr>
          <w:rStyle w:val="EndnoteReference"/>
        </w:rPr>
        <w:endnoteRef/>
      </w:r>
      <w:r>
        <w:t xml:space="preserve"> </w:t>
      </w:r>
      <w:r>
        <w:rPr>
          <w:i/>
        </w:rPr>
        <w:t>Hutcheson v. State</w:t>
      </w:r>
      <w:r>
        <w:t>, 246 Ga. 13 (1980).</w:t>
      </w:r>
    </w:p>
  </w:endnote>
  <w:endnote w:id="5">
    <w:p w14:paraId="2B11B917" w14:textId="19D66EC1" w:rsidR="000A6451" w:rsidRPr="000A6451" w:rsidRDefault="000A6451">
      <w:pPr>
        <w:pStyle w:val="EndnoteText"/>
      </w:pPr>
      <w:r>
        <w:rPr>
          <w:rStyle w:val="EndnoteReference"/>
        </w:rPr>
        <w:endnoteRef/>
      </w:r>
      <w:r>
        <w:t xml:space="preserve"> </w:t>
      </w:r>
      <w:r>
        <w:rPr>
          <w:i/>
        </w:rPr>
        <w:t>Hutcheson v. State</w:t>
      </w:r>
      <w:r>
        <w:t>, 246 Ga. 13 (1980).</w:t>
      </w:r>
    </w:p>
  </w:endnote>
  <w:endnote w:id="6">
    <w:p w14:paraId="2BADF99D" w14:textId="6033DB63" w:rsidR="00AB0F85" w:rsidRPr="00AB0F85" w:rsidRDefault="00AB0F85">
      <w:pPr>
        <w:pStyle w:val="EndnoteText"/>
      </w:pPr>
      <w:r>
        <w:rPr>
          <w:rStyle w:val="EndnoteReference"/>
        </w:rPr>
        <w:endnoteRef/>
      </w:r>
      <w:r>
        <w:t xml:space="preserve"> </w:t>
      </w:r>
      <w:r>
        <w:rPr>
          <w:i/>
        </w:rPr>
        <w:t>Robinson v. State</w:t>
      </w:r>
      <w:r>
        <w:t>, 278 Ga. 836, 838 (2005).</w:t>
      </w:r>
    </w:p>
  </w:endnote>
  <w:endnote w:id="7">
    <w:p w14:paraId="3EF0C7D7" w14:textId="1C68131D" w:rsidR="00E44F01" w:rsidRPr="00AB0F85" w:rsidRDefault="00E44F01">
      <w:pPr>
        <w:pStyle w:val="EndnoteText"/>
      </w:pPr>
      <w:r>
        <w:rPr>
          <w:rStyle w:val="EndnoteReference"/>
        </w:rPr>
        <w:endnoteRef/>
      </w:r>
      <w:r>
        <w:t xml:space="preserve"> </w:t>
      </w:r>
      <w:r>
        <w:rPr>
          <w:i/>
        </w:rPr>
        <w:t>Mosher v. State</w:t>
      </w:r>
      <w:r w:rsidR="00AB0F85">
        <w:t xml:space="preserve">, 268 Ga. 555, 557 (1997); </w:t>
      </w:r>
      <w:r w:rsidR="00AB0F85">
        <w:rPr>
          <w:i/>
        </w:rPr>
        <w:t>Rickman v. State</w:t>
      </w:r>
      <w:r w:rsidR="00AB0F85">
        <w:t xml:space="preserve">, 277 Ga. 277, 280 (2003); </w:t>
      </w:r>
      <w:r w:rsidR="00AB0F85">
        <w:rPr>
          <w:i/>
        </w:rPr>
        <w:t>Ellis v. State</w:t>
      </w:r>
      <w:r w:rsidR="00AB0F85">
        <w:t>, 292 Ga. 276, 284-285 (2013).</w:t>
      </w:r>
    </w:p>
  </w:endnote>
  <w:endnote w:id="8">
    <w:p w14:paraId="54509D97" w14:textId="196D0628" w:rsidR="00E44F01" w:rsidRPr="007C3BA0" w:rsidRDefault="00E44F01">
      <w:pPr>
        <w:pStyle w:val="EndnoteText"/>
      </w:pPr>
      <w:r>
        <w:rPr>
          <w:rStyle w:val="EndnoteReference"/>
        </w:rPr>
        <w:endnoteRef/>
      </w:r>
      <w:r>
        <w:t xml:space="preserve"> </w:t>
      </w:r>
      <w:r>
        <w:rPr>
          <w:i/>
        </w:rPr>
        <w:t>Denison v. State</w:t>
      </w:r>
      <w:r w:rsidR="007C3BA0">
        <w:t xml:space="preserve">, 258 Ga. 690, 691 (1988); </w:t>
      </w:r>
      <w:r w:rsidR="007C3BA0">
        <w:rPr>
          <w:i/>
        </w:rPr>
        <w:t>Wilson v. State</w:t>
      </w:r>
      <w:r w:rsidR="007C3BA0">
        <w:t>, 250 Ga. 630, 635-636 (1983).</w:t>
      </w:r>
    </w:p>
  </w:endnote>
  <w:endnote w:id="9">
    <w:p w14:paraId="2EBB0E5B" w14:textId="1690B1B5" w:rsidR="00E44F01" w:rsidRDefault="00E44F01">
      <w:pPr>
        <w:pStyle w:val="EndnoteText"/>
      </w:pPr>
      <w:r>
        <w:rPr>
          <w:rStyle w:val="EndnoteReference"/>
        </w:rPr>
        <w:endnoteRef/>
      </w:r>
      <w:r>
        <w:t xml:space="preserve"> </w:t>
      </w:r>
      <w:r>
        <w:rPr>
          <w:i/>
        </w:rPr>
        <w:t>Denison v. State</w:t>
      </w:r>
      <w:r>
        <w:t>, 258 Ga. 690, 691 (1988).</w:t>
      </w:r>
    </w:p>
  </w:endnote>
  <w:endnote w:id="10">
    <w:p w14:paraId="78834AE8" w14:textId="0F918ADB" w:rsidR="00E44F01" w:rsidRPr="00E44F01" w:rsidRDefault="00E44F01">
      <w:pPr>
        <w:pStyle w:val="EndnoteText"/>
      </w:pPr>
      <w:r>
        <w:rPr>
          <w:rStyle w:val="EndnoteReference"/>
        </w:rPr>
        <w:endnoteRef/>
      </w:r>
      <w:r>
        <w:t xml:space="preserve"> </w:t>
      </w:r>
      <w:r>
        <w:rPr>
          <w:i/>
        </w:rPr>
        <w:t>Woods v. State</w:t>
      </w:r>
      <w:r>
        <w:t xml:space="preserve">, 224 Ga.App. 52, 52-53 (1996); </w:t>
      </w:r>
      <w:r>
        <w:rPr>
          <w:i/>
        </w:rPr>
        <w:t>Mosher v. State</w:t>
      </w:r>
      <w:r>
        <w:t>, 268 Ga. 555, 557 (1997).</w:t>
      </w:r>
    </w:p>
  </w:endnote>
  <w:endnote w:id="11">
    <w:p w14:paraId="02F4B33B" w14:textId="5D706D5B" w:rsidR="007C3BA0" w:rsidRPr="007C3BA0" w:rsidRDefault="007C3BA0" w:rsidP="007C3BA0">
      <w:pPr>
        <w:pStyle w:val="EndnoteText"/>
      </w:pPr>
      <w:r>
        <w:rPr>
          <w:rStyle w:val="EndnoteReference"/>
        </w:rPr>
        <w:endnoteRef/>
      </w:r>
      <w:r>
        <w:t xml:space="preserve"> </w:t>
      </w:r>
      <w:r>
        <w:rPr>
          <w:i/>
        </w:rPr>
        <w:t>Thompson v. State</w:t>
      </w:r>
      <w:r>
        <w:t>, 212 Ga.App. 175, 176 (1994) (cits. omitted).</w:t>
      </w:r>
    </w:p>
  </w:endnote>
  <w:endnote w:id="12">
    <w:p w14:paraId="548946EA" w14:textId="30EF0BE3" w:rsidR="007C3BA0" w:rsidRPr="007C3BA0" w:rsidRDefault="007C3BA0">
      <w:pPr>
        <w:pStyle w:val="EndnoteText"/>
      </w:pPr>
      <w:r>
        <w:rPr>
          <w:rStyle w:val="EndnoteReference"/>
        </w:rPr>
        <w:endnoteRef/>
      </w:r>
      <w:r>
        <w:t xml:space="preserve"> </w:t>
      </w:r>
      <w:r>
        <w:rPr>
          <w:i/>
        </w:rPr>
        <w:t>Stocks v. State</w:t>
      </w:r>
      <w:r>
        <w:t>, 182 Ga.App. 162 (1987).</w:t>
      </w:r>
    </w:p>
  </w:endnote>
  <w:endnote w:id="13">
    <w:p w14:paraId="2199F4A9" w14:textId="19736587" w:rsidR="007C3BA0" w:rsidRPr="007C3BA0" w:rsidRDefault="007C3BA0">
      <w:pPr>
        <w:pStyle w:val="EndnoteText"/>
      </w:pPr>
      <w:r>
        <w:rPr>
          <w:rStyle w:val="EndnoteReference"/>
        </w:rPr>
        <w:endnoteRef/>
      </w:r>
      <w:r>
        <w:t xml:space="preserve"> </w:t>
      </w:r>
      <w:r>
        <w:rPr>
          <w:i/>
        </w:rPr>
        <w:t>Butts v. State</w:t>
      </w:r>
      <w:r>
        <w:t>, 273 Ga. 760, 764-765 (2001).</w:t>
      </w:r>
    </w:p>
  </w:endnote>
  <w:endnote w:id="14">
    <w:p w14:paraId="77FD8D9B" w14:textId="58C484C9" w:rsidR="007C3BA0" w:rsidRPr="00AB0F85" w:rsidRDefault="007C3BA0">
      <w:pPr>
        <w:pStyle w:val="EndnoteText"/>
      </w:pPr>
      <w:r>
        <w:rPr>
          <w:rStyle w:val="EndnoteReference"/>
        </w:rPr>
        <w:endnoteRef/>
      </w:r>
      <w:r>
        <w:t xml:space="preserve"> </w:t>
      </w:r>
      <w:r w:rsidR="00AB0F85">
        <w:rPr>
          <w:i/>
        </w:rPr>
        <w:t>Robinson v. State</w:t>
      </w:r>
      <w:r w:rsidR="00AB0F85">
        <w:t>, 278 Ga. 836, 838 (2005).</w:t>
      </w:r>
    </w:p>
  </w:endnote>
  <w:endnote w:id="15">
    <w:p w14:paraId="305A5EE6" w14:textId="73BDA432" w:rsidR="00AB0F85" w:rsidRPr="00AB0F85" w:rsidRDefault="00AB0F85">
      <w:pPr>
        <w:pStyle w:val="EndnoteText"/>
      </w:pPr>
      <w:r>
        <w:rPr>
          <w:rStyle w:val="EndnoteReference"/>
        </w:rPr>
        <w:endnoteRef/>
      </w:r>
      <w:r>
        <w:t xml:space="preserve"> </w:t>
      </w:r>
      <w:r>
        <w:rPr>
          <w:i/>
        </w:rPr>
        <w:t>Wellons v. State</w:t>
      </w:r>
      <w:r>
        <w:t>, 266 Ga. 77, 83-84 (1995).</w:t>
      </w:r>
    </w:p>
  </w:endnote>
  <w:endnote w:id="16">
    <w:p w14:paraId="2AB4754C" w14:textId="4838C2A6" w:rsidR="00A27AD2" w:rsidRPr="00A27AD2" w:rsidRDefault="00A27AD2">
      <w:pPr>
        <w:pStyle w:val="EndnoteText"/>
      </w:pPr>
      <w:r>
        <w:rPr>
          <w:rStyle w:val="EndnoteReference"/>
        </w:rPr>
        <w:endnoteRef/>
      </w:r>
      <w:r>
        <w:t xml:space="preserve"> </w:t>
      </w:r>
      <w:r>
        <w:rPr>
          <w:i/>
        </w:rPr>
        <w:t>Harris v. State</w:t>
      </w:r>
      <w:r>
        <w:t>, 255 Ga. 464 (1986).</w:t>
      </w:r>
    </w:p>
  </w:endnote>
  <w:endnote w:id="17">
    <w:p w14:paraId="7645310D" w14:textId="314CD968" w:rsidR="00A27AD2" w:rsidRPr="00A27AD2" w:rsidRDefault="00A27AD2">
      <w:pPr>
        <w:pStyle w:val="EndnoteText"/>
      </w:pPr>
      <w:r>
        <w:rPr>
          <w:rStyle w:val="EndnoteReference"/>
        </w:rPr>
        <w:endnoteRef/>
      </w:r>
      <w:r>
        <w:t xml:space="preserve"> </w:t>
      </w:r>
      <w:r>
        <w:rPr>
          <w:i/>
        </w:rPr>
        <w:t>Hutcheson v. State</w:t>
      </w:r>
      <w:r>
        <w:t>, 246 Ga. 13 (1980).</w:t>
      </w:r>
    </w:p>
  </w:endnote>
  <w:endnote w:id="18">
    <w:p w14:paraId="68D9A562" w14:textId="187362BB" w:rsidR="00B146E1" w:rsidRPr="00B146E1" w:rsidRDefault="00B146E1">
      <w:pPr>
        <w:pStyle w:val="EndnoteText"/>
      </w:pPr>
      <w:r>
        <w:rPr>
          <w:rStyle w:val="EndnoteReference"/>
        </w:rPr>
        <w:endnoteRef/>
      </w:r>
      <w:r>
        <w:t xml:space="preserve"> </w:t>
      </w:r>
      <w:r>
        <w:rPr>
          <w:i/>
        </w:rPr>
        <w:t>Mosher v. State</w:t>
      </w:r>
      <w:r>
        <w:t>, 268 Ga. 555, 557 (1997).</w:t>
      </w:r>
    </w:p>
  </w:endnote>
  <w:endnote w:id="19">
    <w:p w14:paraId="69E44DB2" w14:textId="09F19A96" w:rsidR="00B146E1" w:rsidRPr="00B146E1" w:rsidRDefault="00B146E1">
      <w:pPr>
        <w:pStyle w:val="EndnoteText"/>
      </w:pPr>
      <w:r>
        <w:rPr>
          <w:rStyle w:val="EndnoteReference"/>
        </w:rPr>
        <w:endnoteRef/>
      </w:r>
      <w:r>
        <w:t xml:space="preserve"> </w:t>
      </w:r>
      <w:r>
        <w:rPr>
          <w:i/>
        </w:rPr>
        <w:t>Wilson v. State</w:t>
      </w:r>
      <w:r>
        <w:t xml:space="preserve">, 250 Ga. 630, 635-636 (1983); </w:t>
      </w:r>
      <w:r>
        <w:rPr>
          <w:i/>
        </w:rPr>
        <w:t>Woods v. State</w:t>
      </w:r>
      <w:r>
        <w:t xml:space="preserve">, 224 Ga.App. 52, 53 (1996); </w:t>
      </w:r>
      <w:r>
        <w:rPr>
          <w:i/>
        </w:rPr>
        <w:t>Dennison v. State</w:t>
      </w:r>
      <w:r>
        <w:t>, 258 Ga. 690, 691 (1988) are all examples.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C3CA" w14:textId="77777777" w:rsidR="00064D0B" w:rsidRDefault="00064D0B" w:rsidP="00C527D7">
    <w:pPr>
      <w:pStyle w:val="Footer"/>
      <w:tabs>
        <w:tab w:val="clear" w:pos="4680"/>
        <w:tab w:val="clear" w:pos="9360"/>
      </w:tabs>
      <w:jc w:val="center"/>
      <w:rPr>
        <w:b/>
        <w:bCs/>
        <w:sz w:val="20"/>
        <w:szCs w:val="20"/>
      </w:rPr>
    </w:pPr>
  </w:p>
  <w:p w14:paraId="4B16A50F" w14:textId="6A789423" w:rsidR="003D0F81" w:rsidRDefault="000B158F" w:rsidP="00C527D7">
    <w:pPr>
      <w:pStyle w:val="Footer"/>
      <w:tabs>
        <w:tab w:val="clear" w:pos="4680"/>
        <w:tab w:val="clear" w:pos="9360"/>
      </w:tabs>
      <w:jc w:val="center"/>
      <w:rPr>
        <w:b/>
        <w:bCs/>
        <w:sz w:val="20"/>
        <w:szCs w:val="20"/>
      </w:rPr>
    </w:pPr>
    <w:r>
      <w:rPr>
        <w:b/>
        <w:bCs/>
        <w:sz w:val="20"/>
        <w:szCs w:val="20"/>
      </w:rPr>
      <w:t>JUROR QUALIFICATION IN CRIMINAL CASES – POLICE OFFICERS</w:t>
    </w:r>
    <w:r w:rsidR="00831FEF" w:rsidRPr="00D47131">
      <w:rPr>
        <w:b/>
        <w:bCs/>
        <w:sz w:val="20"/>
        <w:szCs w:val="20"/>
      </w:rPr>
      <w:t xml:space="preserve"> </w:t>
    </w:r>
    <w:r w:rsidR="00831FEF">
      <w:rPr>
        <w:b/>
        <w:bCs/>
        <w:sz w:val="20"/>
        <w:szCs w:val="20"/>
      </w:rPr>
      <w:t>- EPISODE NOTES</w:t>
    </w:r>
    <w:r w:rsidR="004D4931">
      <w:rPr>
        <w:b/>
        <w:bCs/>
        <w:sz w:val="20"/>
        <w:szCs w:val="20"/>
      </w:rPr>
      <w:t xml:space="preserve"> </w:t>
    </w:r>
  </w:p>
  <w:p w14:paraId="3EC713CE" w14:textId="71282334" w:rsidR="003D0F81" w:rsidRPr="00DB0007" w:rsidRDefault="000B158F" w:rsidP="00C527D7">
    <w:pPr>
      <w:pStyle w:val="Footer"/>
      <w:tabs>
        <w:tab w:val="clear" w:pos="4680"/>
        <w:tab w:val="clear" w:pos="9360"/>
      </w:tabs>
      <w:jc w:val="center"/>
      <w:rPr>
        <w:b/>
        <w:bCs/>
        <w:sz w:val="20"/>
        <w:szCs w:val="20"/>
      </w:rPr>
    </w:pPr>
    <w:r>
      <w:rPr>
        <w:b/>
        <w:bCs/>
        <w:sz w:val="20"/>
        <w:szCs w:val="20"/>
      </w:rPr>
      <w:t>RECORDED 10/12</w:t>
    </w:r>
    <w:r w:rsidR="00274D1E">
      <w:rPr>
        <w:b/>
        <w:bCs/>
        <w:sz w:val="20"/>
        <w:szCs w:val="20"/>
      </w:rPr>
      <w:t>/2023</w:t>
    </w:r>
  </w:p>
  <w:p w14:paraId="764F9A21" w14:textId="60F76B3B" w:rsidR="003D0F81" w:rsidRDefault="00274D1E"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FB3481">
      <w:rPr>
        <w:b/>
        <w:bCs/>
        <w:noProof/>
        <w:sz w:val="20"/>
        <w:szCs w:val="20"/>
      </w:rPr>
      <w:t>13</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FB3481">
      <w:rPr>
        <w:b/>
        <w:bCs/>
        <w:noProof/>
        <w:sz w:val="20"/>
        <w:szCs w:val="20"/>
      </w:rPr>
      <w:t>14</w:t>
    </w:r>
    <w:r w:rsidRPr="00DB0007">
      <w:rPr>
        <w:b/>
        <w:bCs/>
        <w:sz w:val="20"/>
        <w:szCs w:val="20"/>
      </w:rPr>
      <w:fldChar w:fldCharType="end"/>
    </w:r>
  </w:p>
  <w:p w14:paraId="66D8CB16" w14:textId="77777777" w:rsidR="003D0F81" w:rsidRDefault="0027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DAA1" w14:textId="77777777" w:rsidR="00274D1E" w:rsidRDefault="00274D1E" w:rsidP="00A52F35">
      <w:r>
        <w:separator/>
      </w:r>
    </w:p>
  </w:footnote>
  <w:footnote w:type="continuationSeparator" w:id="0">
    <w:p w14:paraId="5212BE4F" w14:textId="77777777" w:rsidR="00274D1E" w:rsidRDefault="00274D1E" w:rsidP="00A5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C87"/>
    <w:multiLevelType w:val="hybridMultilevel"/>
    <w:tmpl w:val="408E1B86"/>
    <w:lvl w:ilvl="0" w:tplc="D86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7BC6"/>
    <w:multiLevelType w:val="hybridMultilevel"/>
    <w:tmpl w:val="8040A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2644"/>
    <w:multiLevelType w:val="hybridMultilevel"/>
    <w:tmpl w:val="A6FA7858"/>
    <w:lvl w:ilvl="0" w:tplc="4D004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84038"/>
    <w:multiLevelType w:val="hybridMultilevel"/>
    <w:tmpl w:val="8070B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22289"/>
    <w:multiLevelType w:val="hybridMultilevel"/>
    <w:tmpl w:val="49E66CA2"/>
    <w:lvl w:ilvl="0" w:tplc="A088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F0A31"/>
    <w:multiLevelType w:val="hybridMultilevel"/>
    <w:tmpl w:val="44E44B5C"/>
    <w:lvl w:ilvl="0" w:tplc="A10E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2C4EDC"/>
    <w:multiLevelType w:val="hybridMultilevel"/>
    <w:tmpl w:val="5E7C47FE"/>
    <w:lvl w:ilvl="0" w:tplc="7232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3487C"/>
    <w:multiLevelType w:val="hybridMultilevel"/>
    <w:tmpl w:val="1760055E"/>
    <w:lvl w:ilvl="0" w:tplc="FC9A4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B791A"/>
    <w:multiLevelType w:val="hybridMultilevel"/>
    <w:tmpl w:val="5ECE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368BA"/>
    <w:multiLevelType w:val="hybridMultilevel"/>
    <w:tmpl w:val="E7068CC2"/>
    <w:lvl w:ilvl="0" w:tplc="2D84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6"/>
  </w:num>
  <w:num w:numId="5">
    <w:abstractNumId w:val="7"/>
  </w:num>
  <w:num w:numId="6">
    <w:abstractNumId w:val="5"/>
  </w:num>
  <w:num w:numId="7">
    <w:abstractNumId w:val="2"/>
  </w:num>
  <w:num w:numId="8">
    <w:abstractNumId w:val="1"/>
  </w:num>
  <w:num w:numId="9">
    <w:abstractNumId w:val="4"/>
  </w:num>
  <w:num w:numId="10">
    <w:abstractNumId w:val="15"/>
  </w:num>
  <w:num w:numId="11">
    <w:abstractNumId w:val="10"/>
  </w:num>
  <w:num w:numId="12">
    <w:abstractNumId w:val="11"/>
  </w:num>
  <w:num w:numId="13">
    <w:abstractNumId w:val="8"/>
  </w:num>
  <w:num w:numId="14">
    <w:abstractNumId w:val="3"/>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31"/>
    <w:rsid w:val="0003237A"/>
    <w:rsid w:val="00037707"/>
    <w:rsid w:val="00056659"/>
    <w:rsid w:val="00064D0B"/>
    <w:rsid w:val="000A1DDE"/>
    <w:rsid w:val="000A6451"/>
    <w:rsid w:val="000B158F"/>
    <w:rsid w:val="000B3423"/>
    <w:rsid w:val="000B6B05"/>
    <w:rsid w:val="000D63FE"/>
    <w:rsid w:val="000F2531"/>
    <w:rsid w:val="0010409A"/>
    <w:rsid w:val="00104359"/>
    <w:rsid w:val="001052C2"/>
    <w:rsid w:val="00170D82"/>
    <w:rsid w:val="00177945"/>
    <w:rsid w:val="00180A05"/>
    <w:rsid w:val="001A442C"/>
    <w:rsid w:val="001B123F"/>
    <w:rsid w:val="001C36B8"/>
    <w:rsid w:val="001E223E"/>
    <w:rsid w:val="001F1400"/>
    <w:rsid w:val="00216441"/>
    <w:rsid w:val="002358D9"/>
    <w:rsid w:val="002406B5"/>
    <w:rsid w:val="0024265A"/>
    <w:rsid w:val="00265AE4"/>
    <w:rsid w:val="002708B0"/>
    <w:rsid w:val="00274D1E"/>
    <w:rsid w:val="002764A9"/>
    <w:rsid w:val="00281A13"/>
    <w:rsid w:val="002C3EBC"/>
    <w:rsid w:val="002D73D0"/>
    <w:rsid w:val="002E0E05"/>
    <w:rsid w:val="00326B9C"/>
    <w:rsid w:val="00353401"/>
    <w:rsid w:val="00377C23"/>
    <w:rsid w:val="003807F3"/>
    <w:rsid w:val="003820C0"/>
    <w:rsid w:val="003A43D9"/>
    <w:rsid w:val="003D0441"/>
    <w:rsid w:val="003D0A1C"/>
    <w:rsid w:val="003E6485"/>
    <w:rsid w:val="00410F25"/>
    <w:rsid w:val="00425248"/>
    <w:rsid w:val="00427232"/>
    <w:rsid w:val="00447CA1"/>
    <w:rsid w:val="0045044F"/>
    <w:rsid w:val="004803DD"/>
    <w:rsid w:val="004869C1"/>
    <w:rsid w:val="004924FB"/>
    <w:rsid w:val="004D4931"/>
    <w:rsid w:val="0052076D"/>
    <w:rsid w:val="005273E6"/>
    <w:rsid w:val="005329E3"/>
    <w:rsid w:val="00541E63"/>
    <w:rsid w:val="0054544B"/>
    <w:rsid w:val="00562A35"/>
    <w:rsid w:val="005670B8"/>
    <w:rsid w:val="005725FA"/>
    <w:rsid w:val="00573E68"/>
    <w:rsid w:val="00592F0B"/>
    <w:rsid w:val="00596FF9"/>
    <w:rsid w:val="005A0657"/>
    <w:rsid w:val="005A69B7"/>
    <w:rsid w:val="005C3800"/>
    <w:rsid w:val="005D20DD"/>
    <w:rsid w:val="005D4D9F"/>
    <w:rsid w:val="005D7F62"/>
    <w:rsid w:val="005F1628"/>
    <w:rsid w:val="0060514B"/>
    <w:rsid w:val="0061670A"/>
    <w:rsid w:val="00627C6B"/>
    <w:rsid w:val="00633CCD"/>
    <w:rsid w:val="00636F98"/>
    <w:rsid w:val="00685BE4"/>
    <w:rsid w:val="006B3477"/>
    <w:rsid w:val="006B6507"/>
    <w:rsid w:val="006C5503"/>
    <w:rsid w:val="006D0F96"/>
    <w:rsid w:val="006D68E0"/>
    <w:rsid w:val="007259FE"/>
    <w:rsid w:val="007359EE"/>
    <w:rsid w:val="00752541"/>
    <w:rsid w:val="00763690"/>
    <w:rsid w:val="00773B54"/>
    <w:rsid w:val="00776F4B"/>
    <w:rsid w:val="007835FF"/>
    <w:rsid w:val="0079655E"/>
    <w:rsid w:val="007969F6"/>
    <w:rsid w:val="007B06BD"/>
    <w:rsid w:val="007B0CF3"/>
    <w:rsid w:val="007C078D"/>
    <w:rsid w:val="007C3BA0"/>
    <w:rsid w:val="007D720F"/>
    <w:rsid w:val="007E60C0"/>
    <w:rsid w:val="007F161E"/>
    <w:rsid w:val="008138CD"/>
    <w:rsid w:val="00823457"/>
    <w:rsid w:val="00831FEF"/>
    <w:rsid w:val="008602E1"/>
    <w:rsid w:val="00861E53"/>
    <w:rsid w:val="00871F93"/>
    <w:rsid w:val="00887092"/>
    <w:rsid w:val="00892CB8"/>
    <w:rsid w:val="008A7F0D"/>
    <w:rsid w:val="008C3758"/>
    <w:rsid w:val="008D58A4"/>
    <w:rsid w:val="008F22C8"/>
    <w:rsid w:val="008F668A"/>
    <w:rsid w:val="00905B57"/>
    <w:rsid w:val="00916422"/>
    <w:rsid w:val="00932F2C"/>
    <w:rsid w:val="00951BDC"/>
    <w:rsid w:val="0098464C"/>
    <w:rsid w:val="009A31B9"/>
    <w:rsid w:val="009E786C"/>
    <w:rsid w:val="00A07E1A"/>
    <w:rsid w:val="00A11B17"/>
    <w:rsid w:val="00A11F70"/>
    <w:rsid w:val="00A25DDB"/>
    <w:rsid w:val="00A27AD2"/>
    <w:rsid w:val="00A3766F"/>
    <w:rsid w:val="00A41B27"/>
    <w:rsid w:val="00A443C0"/>
    <w:rsid w:val="00A52D92"/>
    <w:rsid w:val="00A52F35"/>
    <w:rsid w:val="00A63DA8"/>
    <w:rsid w:val="00A65A34"/>
    <w:rsid w:val="00A66213"/>
    <w:rsid w:val="00AB0F85"/>
    <w:rsid w:val="00AD6B8F"/>
    <w:rsid w:val="00AE7147"/>
    <w:rsid w:val="00AF002B"/>
    <w:rsid w:val="00AF0975"/>
    <w:rsid w:val="00B146E1"/>
    <w:rsid w:val="00B17AAF"/>
    <w:rsid w:val="00B3052C"/>
    <w:rsid w:val="00B355CB"/>
    <w:rsid w:val="00B65853"/>
    <w:rsid w:val="00B7006F"/>
    <w:rsid w:val="00B81678"/>
    <w:rsid w:val="00BB4ABC"/>
    <w:rsid w:val="00BC0835"/>
    <w:rsid w:val="00BC0F3E"/>
    <w:rsid w:val="00BE35E7"/>
    <w:rsid w:val="00BE425E"/>
    <w:rsid w:val="00BF5C94"/>
    <w:rsid w:val="00C309A1"/>
    <w:rsid w:val="00C356F8"/>
    <w:rsid w:val="00C50CDC"/>
    <w:rsid w:val="00C57358"/>
    <w:rsid w:val="00C71331"/>
    <w:rsid w:val="00C719F6"/>
    <w:rsid w:val="00C80E52"/>
    <w:rsid w:val="00C84D17"/>
    <w:rsid w:val="00CA08DF"/>
    <w:rsid w:val="00CA5636"/>
    <w:rsid w:val="00CA7A2F"/>
    <w:rsid w:val="00CC4ED3"/>
    <w:rsid w:val="00CD072C"/>
    <w:rsid w:val="00CD0F8A"/>
    <w:rsid w:val="00CD4FB6"/>
    <w:rsid w:val="00D023EA"/>
    <w:rsid w:val="00D52C92"/>
    <w:rsid w:val="00D67C29"/>
    <w:rsid w:val="00D959C7"/>
    <w:rsid w:val="00DC02E1"/>
    <w:rsid w:val="00DC3080"/>
    <w:rsid w:val="00DC7FAB"/>
    <w:rsid w:val="00E078AF"/>
    <w:rsid w:val="00E20396"/>
    <w:rsid w:val="00E33651"/>
    <w:rsid w:val="00E44F01"/>
    <w:rsid w:val="00E87EC1"/>
    <w:rsid w:val="00E96B77"/>
    <w:rsid w:val="00EA0BDB"/>
    <w:rsid w:val="00EB26AA"/>
    <w:rsid w:val="00ED08FC"/>
    <w:rsid w:val="00ED2E8D"/>
    <w:rsid w:val="00F13A7D"/>
    <w:rsid w:val="00F274C7"/>
    <w:rsid w:val="00F5101A"/>
    <w:rsid w:val="00F62034"/>
    <w:rsid w:val="00FA73A3"/>
    <w:rsid w:val="00FB3481"/>
    <w:rsid w:val="00FC7551"/>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qFormat/>
    <w:rsid w:val="00AE7147"/>
    <w:pPr>
      <w:spacing w:line="276" w:lineRule="auto"/>
      <w:ind w:left="720" w:hanging="720"/>
    </w:pPr>
    <w:rPr>
      <w:szCs w:val="20"/>
    </w:rPr>
  </w:style>
  <w:style w:type="character" w:customStyle="1" w:styleId="EndnoteTextChar">
    <w:name w:val="Endnote Text Char"/>
    <w:basedOn w:val="DefaultParagraphFont"/>
    <w:link w:val="EndnoteText"/>
    <w:rsid w:val="00AE7147"/>
    <w:rPr>
      <w:szCs w:val="20"/>
    </w:rPr>
  </w:style>
  <w:style w:type="character" w:styleId="EndnoteReference">
    <w:name w:val="endnote reference"/>
    <w:basedOn w:val="DefaultParagraphFont"/>
    <w:uiPriority w:val="99"/>
    <w:unhideWhenUsed/>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customStyle="1" w:styleId="UnresolvedMention">
    <w:name w:val="Unresolved Mention"/>
    <w:basedOn w:val="DefaultParagraphFont"/>
    <w:uiPriority w:val="99"/>
    <w:semiHidden/>
    <w:unhideWhenUsed/>
    <w:rsid w:val="00C7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F89B-728B-45C0-B9E1-59525021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Padgett, Wade</cp:lastModifiedBy>
  <cp:revision>2</cp:revision>
  <dcterms:created xsi:type="dcterms:W3CDTF">2023-09-27T20:56:00Z</dcterms:created>
  <dcterms:modified xsi:type="dcterms:W3CDTF">2023-09-27T20:56:00Z</dcterms:modified>
</cp:coreProperties>
</file>