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4E7" w:rsidRDefault="00EB3B89" w:rsidP="00EB3B89">
      <w:pPr>
        <w:jc w:val="center"/>
        <w:rPr>
          <w:b/>
          <w:sz w:val="32"/>
          <w:szCs w:val="32"/>
        </w:rPr>
      </w:pPr>
      <w:r w:rsidRPr="00EB3B89">
        <w:rPr>
          <w:b/>
          <w:sz w:val="32"/>
          <w:szCs w:val="32"/>
        </w:rPr>
        <w:t xml:space="preserve">Jury Verdicts and Proper </w:t>
      </w:r>
      <w:r>
        <w:rPr>
          <w:b/>
          <w:sz w:val="32"/>
          <w:szCs w:val="32"/>
        </w:rPr>
        <w:t>P</w:t>
      </w:r>
      <w:r w:rsidRPr="00EB3B89">
        <w:rPr>
          <w:b/>
          <w:sz w:val="32"/>
          <w:szCs w:val="32"/>
        </w:rPr>
        <w:t>rocedures for Receiving a Verdict</w:t>
      </w:r>
    </w:p>
    <w:p w:rsidR="00EB3B89" w:rsidRDefault="00EB3B89" w:rsidP="00EB3B89">
      <w:pPr>
        <w:jc w:val="center"/>
        <w:rPr>
          <w:b/>
          <w:sz w:val="32"/>
          <w:szCs w:val="32"/>
        </w:rPr>
      </w:pPr>
      <w:r>
        <w:rPr>
          <w:b/>
          <w:sz w:val="32"/>
          <w:szCs w:val="32"/>
        </w:rPr>
        <w:t>Podcast</w:t>
      </w:r>
    </w:p>
    <w:p w:rsidR="00EB3B89" w:rsidRDefault="00EB3B89" w:rsidP="00EB3B89">
      <w:pPr>
        <w:jc w:val="center"/>
        <w:rPr>
          <w:b/>
          <w:sz w:val="32"/>
          <w:szCs w:val="32"/>
        </w:rPr>
      </w:pPr>
      <w:r>
        <w:rPr>
          <w:b/>
          <w:sz w:val="32"/>
          <w:szCs w:val="32"/>
        </w:rPr>
        <w:t>July 3, 2019</w:t>
      </w:r>
    </w:p>
    <w:p w:rsidR="00EB3B89" w:rsidRDefault="00EB3B89" w:rsidP="00EB3B89">
      <w:pPr>
        <w:spacing w:line="480" w:lineRule="auto"/>
        <w:jc w:val="center"/>
        <w:rPr>
          <w:b/>
          <w:sz w:val="32"/>
          <w:szCs w:val="32"/>
        </w:rPr>
      </w:pPr>
    </w:p>
    <w:p w:rsidR="00EB3B89" w:rsidRDefault="00EB3B89" w:rsidP="00EB3B89">
      <w:pPr>
        <w:spacing w:line="480" w:lineRule="auto"/>
        <w:rPr>
          <w:sz w:val="32"/>
          <w:szCs w:val="32"/>
        </w:rPr>
      </w:pPr>
      <w:r>
        <w:rPr>
          <w:sz w:val="32"/>
          <w:szCs w:val="32"/>
        </w:rPr>
        <w:t>There is perhaps no more dramatic moment in any trial, civil or criminal, than the moment the jury foreperson is asked, “Has the jury reached a verdict?”  Entire book and movie scripts have been built to that dramatic climax.</w:t>
      </w:r>
    </w:p>
    <w:p w:rsidR="00EB3B89" w:rsidRDefault="00EB3B89" w:rsidP="00EB3B89">
      <w:pPr>
        <w:spacing w:line="480" w:lineRule="auto"/>
        <w:rPr>
          <w:sz w:val="32"/>
          <w:szCs w:val="32"/>
        </w:rPr>
      </w:pPr>
      <w:r>
        <w:rPr>
          <w:sz w:val="32"/>
          <w:szCs w:val="32"/>
        </w:rPr>
        <w:t>As judges, though, we need to remember that we are not so much about building dramatic moments as we are about getting true verdicts according to the law.  For that reason, this podcast will explore the proper procedures for achieving and receiving a verdict as laid out by the Supreme Court and the Court of Appeals.</w:t>
      </w:r>
    </w:p>
    <w:p w:rsidR="00EB3B89" w:rsidRDefault="00EB3B89" w:rsidP="00EB3B89">
      <w:pPr>
        <w:spacing w:line="480" w:lineRule="auto"/>
        <w:rPr>
          <w:sz w:val="32"/>
          <w:szCs w:val="32"/>
        </w:rPr>
      </w:pPr>
    </w:p>
    <w:p w:rsidR="00EB3B89" w:rsidRDefault="00EB3B89" w:rsidP="00EB3B89">
      <w:pPr>
        <w:spacing w:line="480" w:lineRule="auto"/>
        <w:rPr>
          <w:sz w:val="32"/>
          <w:szCs w:val="32"/>
        </w:rPr>
      </w:pPr>
      <w:proofErr w:type="gramStart"/>
      <w:r>
        <w:rPr>
          <w:sz w:val="32"/>
          <w:szCs w:val="32"/>
        </w:rPr>
        <w:t>So</w:t>
      </w:r>
      <w:proofErr w:type="gramEnd"/>
      <w:r>
        <w:rPr>
          <w:sz w:val="32"/>
          <w:szCs w:val="32"/>
        </w:rPr>
        <w:t xml:space="preserve"> Wade, first of all, what does the word “verdict” actually mean?</w:t>
      </w:r>
    </w:p>
    <w:p w:rsidR="00EB3B89" w:rsidRDefault="00EB3B89" w:rsidP="00EB3B89">
      <w:pPr>
        <w:spacing w:line="480" w:lineRule="auto"/>
        <w:rPr>
          <w:sz w:val="32"/>
          <w:szCs w:val="32"/>
        </w:rPr>
      </w:pPr>
      <w:r>
        <w:rPr>
          <w:sz w:val="32"/>
          <w:szCs w:val="32"/>
        </w:rPr>
        <w:t xml:space="preserve">“Verdict”, from the Latin </w:t>
      </w:r>
      <w:proofErr w:type="spellStart"/>
      <w:r w:rsidRPr="00EB3B89">
        <w:rPr>
          <w:i/>
          <w:sz w:val="32"/>
          <w:szCs w:val="32"/>
        </w:rPr>
        <w:t>verdictu</w:t>
      </w:r>
      <w:r>
        <w:rPr>
          <w:i/>
          <w:sz w:val="32"/>
          <w:szCs w:val="32"/>
        </w:rPr>
        <w:t>m</w:t>
      </w:r>
      <w:proofErr w:type="spellEnd"/>
      <w:r>
        <w:rPr>
          <w:sz w:val="32"/>
          <w:szCs w:val="32"/>
        </w:rPr>
        <w:t>, meaning “true saying” or “to say the truth”.</w:t>
      </w:r>
      <w:r w:rsidR="00E66132">
        <w:rPr>
          <w:rStyle w:val="EndnoteReference"/>
          <w:sz w:val="32"/>
          <w:szCs w:val="32"/>
        </w:rPr>
        <w:endnoteReference w:id="1"/>
      </w:r>
    </w:p>
    <w:p w:rsidR="00EB3B89" w:rsidRDefault="00EB3B89" w:rsidP="00EB3B89">
      <w:pPr>
        <w:spacing w:line="480" w:lineRule="auto"/>
        <w:rPr>
          <w:sz w:val="32"/>
          <w:szCs w:val="32"/>
        </w:rPr>
      </w:pPr>
      <w:r>
        <w:rPr>
          <w:sz w:val="32"/>
          <w:szCs w:val="32"/>
        </w:rPr>
        <w:t xml:space="preserve">But Wade, I always hear lawyers tell juries that </w:t>
      </w:r>
      <w:proofErr w:type="spellStart"/>
      <w:r w:rsidRPr="00EB3B89">
        <w:rPr>
          <w:i/>
          <w:sz w:val="32"/>
          <w:szCs w:val="32"/>
        </w:rPr>
        <w:t>voir</w:t>
      </w:r>
      <w:proofErr w:type="spellEnd"/>
      <w:r w:rsidRPr="00EB3B89">
        <w:rPr>
          <w:i/>
          <w:sz w:val="32"/>
          <w:szCs w:val="32"/>
        </w:rPr>
        <w:t xml:space="preserve"> dire</w:t>
      </w:r>
      <w:r>
        <w:rPr>
          <w:sz w:val="32"/>
          <w:szCs w:val="32"/>
        </w:rPr>
        <w:t xml:space="preserve"> means “to speak the truth”.</w:t>
      </w:r>
    </w:p>
    <w:p w:rsidR="00EB3B89" w:rsidRDefault="00EB3B89" w:rsidP="00EB3B89">
      <w:pPr>
        <w:spacing w:line="480" w:lineRule="auto"/>
        <w:rPr>
          <w:sz w:val="32"/>
          <w:szCs w:val="32"/>
        </w:rPr>
      </w:pPr>
      <w:r>
        <w:rPr>
          <w:sz w:val="32"/>
          <w:szCs w:val="32"/>
        </w:rPr>
        <w:t xml:space="preserve">That’s because they don’t speak French and Latin like you and I do, Tain.  </w:t>
      </w:r>
      <w:proofErr w:type="spellStart"/>
      <w:r w:rsidRPr="00E66132">
        <w:rPr>
          <w:i/>
          <w:sz w:val="32"/>
          <w:szCs w:val="32"/>
        </w:rPr>
        <w:t>Voir</w:t>
      </w:r>
      <w:proofErr w:type="spellEnd"/>
      <w:r w:rsidRPr="00E66132">
        <w:rPr>
          <w:i/>
          <w:sz w:val="32"/>
          <w:szCs w:val="32"/>
        </w:rPr>
        <w:t xml:space="preserve"> </w:t>
      </w:r>
      <w:r w:rsidR="00E66132" w:rsidRPr="00E66132">
        <w:rPr>
          <w:i/>
          <w:sz w:val="32"/>
          <w:szCs w:val="32"/>
        </w:rPr>
        <w:t>d</w:t>
      </w:r>
      <w:r w:rsidRPr="00E66132">
        <w:rPr>
          <w:i/>
          <w:sz w:val="32"/>
          <w:szCs w:val="32"/>
        </w:rPr>
        <w:t>ire</w:t>
      </w:r>
      <w:r>
        <w:rPr>
          <w:sz w:val="32"/>
          <w:szCs w:val="32"/>
        </w:rPr>
        <w:t xml:space="preserve"> </w:t>
      </w:r>
      <w:proofErr w:type="gramStart"/>
      <w:r>
        <w:rPr>
          <w:sz w:val="32"/>
          <w:szCs w:val="32"/>
        </w:rPr>
        <w:t>actually is</w:t>
      </w:r>
      <w:proofErr w:type="gramEnd"/>
      <w:r>
        <w:rPr>
          <w:sz w:val="32"/>
          <w:szCs w:val="32"/>
        </w:rPr>
        <w:t xml:space="preserve"> French, meaning </w:t>
      </w:r>
      <w:r w:rsidR="00E66132">
        <w:rPr>
          <w:sz w:val="32"/>
          <w:szCs w:val="32"/>
        </w:rPr>
        <w:t>“</w:t>
      </w:r>
      <w:r w:rsidR="00E66132" w:rsidRPr="00E66132">
        <w:rPr>
          <w:i/>
          <w:sz w:val="32"/>
          <w:szCs w:val="32"/>
        </w:rPr>
        <w:t>to see</w:t>
      </w:r>
      <w:r w:rsidR="00E66132">
        <w:rPr>
          <w:sz w:val="32"/>
          <w:szCs w:val="32"/>
        </w:rPr>
        <w:t xml:space="preserve"> and </w:t>
      </w:r>
      <w:r w:rsidR="00E66132" w:rsidRPr="00E66132">
        <w:rPr>
          <w:i/>
          <w:sz w:val="32"/>
          <w:szCs w:val="32"/>
        </w:rPr>
        <w:t>to speak</w:t>
      </w:r>
      <w:r w:rsidR="00E66132">
        <w:rPr>
          <w:sz w:val="32"/>
          <w:szCs w:val="32"/>
        </w:rPr>
        <w:t>”.</w:t>
      </w:r>
    </w:p>
    <w:p w:rsidR="00E66132" w:rsidRDefault="00E66132" w:rsidP="00EB3B89">
      <w:pPr>
        <w:spacing w:line="480" w:lineRule="auto"/>
        <w:rPr>
          <w:sz w:val="32"/>
          <w:szCs w:val="32"/>
        </w:rPr>
      </w:pPr>
      <w:r>
        <w:rPr>
          <w:sz w:val="32"/>
          <w:szCs w:val="32"/>
        </w:rPr>
        <w:t>Silly lawyers!</w:t>
      </w:r>
    </w:p>
    <w:p w:rsidR="00E66132" w:rsidRDefault="00E66132" w:rsidP="00EB3B89">
      <w:pPr>
        <w:spacing w:line="480" w:lineRule="auto"/>
        <w:rPr>
          <w:sz w:val="32"/>
          <w:szCs w:val="32"/>
        </w:rPr>
      </w:pPr>
      <w:proofErr w:type="gramStart"/>
      <w:r>
        <w:rPr>
          <w:sz w:val="32"/>
          <w:szCs w:val="32"/>
        </w:rPr>
        <w:t>So</w:t>
      </w:r>
      <w:proofErr w:type="gramEnd"/>
      <w:r>
        <w:rPr>
          <w:sz w:val="32"/>
          <w:szCs w:val="32"/>
        </w:rPr>
        <w:t xml:space="preserve"> Wade, not to spoil the ending of the book or anything, but what does the law say about when a verdict becomes a verdict?  Is it when the jury </w:t>
      </w:r>
      <w:proofErr w:type="gramStart"/>
      <w:r>
        <w:rPr>
          <w:sz w:val="32"/>
          <w:szCs w:val="32"/>
        </w:rPr>
        <w:t>says</w:t>
      </w:r>
      <w:proofErr w:type="gramEnd"/>
      <w:r>
        <w:rPr>
          <w:sz w:val="32"/>
          <w:szCs w:val="32"/>
        </w:rPr>
        <w:t xml:space="preserve"> “We have a verdict”?</w:t>
      </w:r>
    </w:p>
    <w:p w:rsidR="00E66132" w:rsidRDefault="00E66132" w:rsidP="00EB3B89">
      <w:pPr>
        <w:spacing w:line="480" w:lineRule="auto"/>
        <w:rPr>
          <w:sz w:val="32"/>
          <w:szCs w:val="32"/>
        </w:rPr>
      </w:pPr>
      <w:r>
        <w:rPr>
          <w:sz w:val="32"/>
          <w:szCs w:val="32"/>
        </w:rPr>
        <w:t xml:space="preserve">Well, no.  the Supreme Court has said that “Verdicts acquire their legality from </w:t>
      </w:r>
      <w:r w:rsidRPr="00E66132">
        <w:rPr>
          <w:b/>
          <w:i/>
          <w:sz w:val="32"/>
          <w:szCs w:val="32"/>
        </w:rPr>
        <w:t>return</w:t>
      </w:r>
      <w:r>
        <w:rPr>
          <w:sz w:val="32"/>
          <w:szCs w:val="32"/>
        </w:rPr>
        <w:t xml:space="preserve"> and </w:t>
      </w:r>
      <w:r w:rsidRPr="00E66132">
        <w:rPr>
          <w:b/>
          <w:i/>
          <w:sz w:val="32"/>
          <w:szCs w:val="32"/>
        </w:rPr>
        <w:t>publication</w:t>
      </w:r>
      <w:r>
        <w:rPr>
          <w:sz w:val="32"/>
          <w:szCs w:val="32"/>
        </w:rPr>
        <w:t>.</w:t>
      </w:r>
      <w:r>
        <w:rPr>
          <w:rStyle w:val="EndnoteReference"/>
          <w:sz w:val="32"/>
          <w:szCs w:val="32"/>
        </w:rPr>
        <w:endnoteReference w:id="2"/>
      </w:r>
      <w:r w:rsidR="00596B39">
        <w:rPr>
          <w:sz w:val="32"/>
          <w:szCs w:val="32"/>
        </w:rPr>
        <w:t xml:space="preserve">  </w:t>
      </w:r>
    </w:p>
    <w:p w:rsidR="00596B39" w:rsidRDefault="00596B39" w:rsidP="00EB3B89">
      <w:pPr>
        <w:spacing w:line="480" w:lineRule="auto"/>
        <w:rPr>
          <w:sz w:val="32"/>
          <w:szCs w:val="32"/>
        </w:rPr>
      </w:pPr>
      <w:r>
        <w:rPr>
          <w:sz w:val="32"/>
          <w:szCs w:val="32"/>
        </w:rPr>
        <w:t>Well, what does that entail?</w:t>
      </w:r>
    </w:p>
    <w:p w:rsidR="00596B39" w:rsidRDefault="00596B39" w:rsidP="00EB3B89">
      <w:pPr>
        <w:spacing w:line="480" w:lineRule="auto"/>
        <w:rPr>
          <w:sz w:val="32"/>
          <w:szCs w:val="32"/>
        </w:rPr>
      </w:pPr>
      <w:r>
        <w:rPr>
          <w:sz w:val="32"/>
          <w:szCs w:val="32"/>
        </w:rPr>
        <w:t>A verdict is only published when it is agreed upon by the jury, written out, signed by the jury foreperson, and delivered to the clerk, by the direction and in the presence of the judge.”</w:t>
      </w:r>
      <w:r>
        <w:rPr>
          <w:rStyle w:val="EndnoteReference"/>
          <w:sz w:val="32"/>
          <w:szCs w:val="32"/>
        </w:rPr>
        <w:endnoteReference w:id="3"/>
      </w:r>
      <w:r>
        <w:rPr>
          <w:sz w:val="32"/>
          <w:szCs w:val="32"/>
        </w:rPr>
        <w:t xml:space="preserve">  Several of the cases also indicate that the verdict is not “published” until it is actually read in open court.</w:t>
      </w:r>
    </w:p>
    <w:p w:rsidR="004E7F21" w:rsidRDefault="004E7F21" w:rsidP="00EB3B89">
      <w:pPr>
        <w:spacing w:line="480" w:lineRule="auto"/>
        <w:rPr>
          <w:sz w:val="32"/>
          <w:szCs w:val="32"/>
        </w:rPr>
      </w:pPr>
      <w:proofErr w:type="gramStart"/>
      <w:r>
        <w:rPr>
          <w:sz w:val="32"/>
          <w:szCs w:val="32"/>
        </w:rPr>
        <w:t>So</w:t>
      </w:r>
      <w:proofErr w:type="gramEnd"/>
      <w:r>
        <w:rPr>
          <w:sz w:val="32"/>
          <w:szCs w:val="32"/>
        </w:rPr>
        <w:t xml:space="preserve"> let’s go back to how we get to that point, the dramatic moment of the reading of a verdict.  </w:t>
      </w:r>
    </w:p>
    <w:p w:rsidR="00596B39" w:rsidRDefault="004E7F21" w:rsidP="00EB3B89">
      <w:pPr>
        <w:spacing w:line="480" w:lineRule="auto"/>
        <w:rPr>
          <w:sz w:val="32"/>
          <w:szCs w:val="32"/>
        </w:rPr>
      </w:pPr>
      <w:r>
        <w:rPr>
          <w:sz w:val="32"/>
          <w:szCs w:val="32"/>
        </w:rPr>
        <w:t>When does the process of receiving the verdict really start?</w:t>
      </w:r>
    </w:p>
    <w:p w:rsidR="004E7F21" w:rsidRDefault="004E7F21" w:rsidP="00EB3B89">
      <w:pPr>
        <w:spacing w:line="480" w:lineRule="auto"/>
        <w:rPr>
          <w:sz w:val="32"/>
          <w:szCs w:val="32"/>
        </w:rPr>
      </w:pPr>
      <w:r>
        <w:rPr>
          <w:sz w:val="32"/>
          <w:szCs w:val="32"/>
        </w:rPr>
        <w:t>Well, of course, the first thing we do is charge the jury.  When I charge them, I always discuss with them how exactly they will render a verdict.  You know, I tell them they will elect a foreperson, and that he or she will preside over their deliberations and record their unanimous verdict, date it and sign it as foreperson.</w:t>
      </w:r>
    </w:p>
    <w:p w:rsidR="004E7F21" w:rsidRDefault="004E7F21" w:rsidP="00EB3B89">
      <w:pPr>
        <w:spacing w:line="480" w:lineRule="auto"/>
        <w:rPr>
          <w:sz w:val="32"/>
          <w:szCs w:val="32"/>
        </w:rPr>
      </w:pPr>
      <w:r>
        <w:rPr>
          <w:sz w:val="32"/>
          <w:szCs w:val="32"/>
        </w:rPr>
        <w:t>What about providing a verdict form?</w:t>
      </w:r>
    </w:p>
    <w:p w:rsidR="004E7F21" w:rsidRDefault="004E7F21" w:rsidP="00EB3B89">
      <w:pPr>
        <w:spacing w:line="480" w:lineRule="auto"/>
        <w:rPr>
          <w:sz w:val="32"/>
          <w:szCs w:val="32"/>
        </w:rPr>
      </w:pPr>
      <w:r>
        <w:rPr>
          <w:sz w:val="32"/>
          <w:szCs w:val="32"/>
        </w:rPr>
        <w:t>Well, I always provide a verdict form that I have discussed with the attorneys during charge conference.  While this is not required, it’s certainly best practice.</w:t>
      </w:r>
    </w:p>
    <w:p w:rsidR="004E7F21" w:rsidRDefault="004E7F21" w:rsidP="00EB3B89">
      <w:pPr>
        <w:spacing w:line="480" w:lineRule="auto"/>
        <w:rPr>
          <w:sz w:val="32"/>
          <w:szCs w:val="32"/>
        </w:rPr>
      </w:pPr>
      <w:r>
        <w:rPr>
          <w:sz w:val="32"/>
          <w:szCs w:val="32"/>
        </w:rPr>
        <w:t xml:space="preserve">Well, it seems like you could </w:t>
      </w:r>
      <w:proofErr w:type="gramStart"/>
      <w:r>
        <w:rPr>
          <w:sz w:val="32"/>
          <w:szCs w:val="32"/>
        </w:rPr>
        <w:t>definitely avoid</w:t>
      </w:r>
      <w:proofErr w:type="gramEnd"/>
      <w:r>
        <w:rPr>
          <w:sz w:val="32"/>
          <w:szCs w:val="32"/>
        </w:rPr>
        <w:t xml:space="preserve"> a lot of potential problems by doing it that way.</w:t>
      </w:r>
    </w:p>
    <w:p w:rsidR="004E7F21" w:rsidRDefault="004E7F21" w:rsidP="00EB3B89">
      <w:pPr>
        <w:spacing w:line="480" w:lineRule="auto"/>
        <w:rPr>
          <w:sz w:val="32"/>
          <w:szCs w:val="32"/>
        </w:rPr>
      </w:pPr>
      <w:r>
        <w:rPr>
          <w:sz w:val="32"/>
          <w:szCs w:val="32"/>
        </w:rPr>
        <w:t xml:space="preserve">Definitely!  A simple and well-worded verdict form can really help the jury understand its duty </w:t>
      </w:r>
    </w:p>
    <w:p w:rsidR="004E7F21" w:rsidRPr="00EB3B89" w:rsidRDefault="004E7F21" w:rsidP="00EB3B89">
      <w:pPr>
        <w:spacing w:line="480" w:lineRule="auto"/>
        <w:rPr>
          <w:sz w:val="32"/>
          <w:szCs w:val="32"/>
        </w:rPr>
      </w:pPr>
    </w:p>
    <w:sectPr w:rsidR="004E7F21" w:rsidRPr="00EB3B89" w:rsidSect="004114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A9" w:rsidRDefault="00362BA9" w:rsidP="00E66132">
      <w:pPr>
        <w:spacing w:after="0" w:line="240" w:lineRule="auto"/>
      </w:pPr>
      <w:r>
        <w:separator/>
      </w:r>
    </w:p>
  </w:endnote>
  <w:endnote w:type="continuationSeparator" w:id="0">
    <w:p w:rsidR="00362BA9" w:rsidRDefault="00362BA9" w:rsidP="00E66132">
      <w:pPr>
        <w:spacing w:after="0" w:line="240" w:lineRule="auto"/>
      </w:pPr>
      <w:r>
        <w:continuationSeparator/>
      </w:r>
    </w:p>
  </w:endnote>
  <w:endnote w:id="1">
    <w:p w:rsidR="00E66132" w:rsidRDefault="00E66132">
      <w:pPr>
        <w:pStyle w:val="EndnoteText"/>
      </w:pPr>
      <w:r>
        <w:rPr>
          <w:rStyle w:val="EndnoteReference"/>
        </w:rPr>
        <w:endnoteRef/>
      </w:r>
      <w:r>
        <w:t xml:space="preserve"> Groves v. State, 162 Ga. 161, 162 (1926)</w:t>
      </w:r>
    </w:p>
  </w:endnote>
  <w:endnote w:id="2">
    <w:p w:rsidR="00E66132" w:rsidRDefault="00E66132">
      <w:pPr>
        <w:pStyle w:val="EndnoteText"/>
      </w:pPr>
      <w:r>
        <w:rPr>
          <w:rStyle w:val="EndnoteReference"/>
        </w:rPr>
        <w:endnoteRef/>
      </w:r>
      <w:r>
        <w:t xml:space="preserve"> Easley v. State, 262 Ga. App. 144, 149 (1926); Irvine v. Grant, </w:t>
      </w:r>
      <w:r w:rsidR="00596B39">
        <w:t xml:space="preserve">15 Ga. App. 269, 269 (1914); O.C.G.A. </w:t>
      </w:r>
      <w:r w:rsidR="00596B39">
        <w:rPr>
          <w:rFonts w:cstheme="minorHAnsi"/>
        </w:rPr>
        <w:t>§</w:t>
      </w:r>
      <w:r w:rsidR="00596B39">
        <w:t>17-9-21 “Verdicts shall be received only in open court, in the absence of agreement by the parties.”</w:t>
      </w:r>
    </w:p>
  </w:endnote>
  <w:endnote w:id="3">
    <w:p w:rsidR="00596B39" w:rsidRDefault="00596B39">
      <w:pPr>
        <w:pStyle w:val="EndnoteText"/>
      </w:pPr>
      <w:r>
        <w:rPr>
          <w:rStyle w:val="EndnoteReference"/>
        </w:rPr>
        <w:endnoteRef/>
      </w:r>
      <w:r>
        <w:t xml:space="preserve"> Bell v. State, 163 Ga. App. 672, 674 (1982); Irvine, 15 Ga. App. At 269; Hannula v. Ramey, 177 Ga. App. 512, 513 (1986); Haughton v. Judson, 116 Ga. App. 308, 311 (1967).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A9" w:rsidRDefault="00362BA9" w:rsidP="00E66132">
      <w:pPr>
        <w:spacing w:after="0" w:line="240" w:lineRule="auto"/>
      </w:pPr>
      <w:r>
        <w:separator/>
      </w:r>
    </w:p>
  </w:footnote>
  <w:footnote w:type="continuationSeparator" w:id="0">
    <w:p w:rsidR="00362BA9" w:rsidRDefault="00362BA9" w:rsidP="00E66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89"/>
    <w:rsid w:val="002B2D45"/>
    <w:rsid w:val="00362BA9"/>
    <w:rsid w:val="004114E7"/>
    <w:rsid w:val="004E7F21"/>
    <w:rsid w:val="00596B39"/>
    <w:rsid w:val="00685C2F"/>
    <w:rsid w:val="00DA1581"/>
    <w:rsid w:val="00E66132"/>
    <w:rsid w:val="00EB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6A4B"/>
  <w15:chartTrackingRefBased/>
  <w15:docId w15:val="{12313A87-FB7A-4210-A932-7D295436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661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6132"/>
    <w:rPr>
      <w:sz w:val="20"/>
      <w:szCs w:val="20"/>
    </w:rPr>
  </w:style>
  <w:style w:type="character" w:styleId="EndnoteReference">
    <w:name w:val="endnote reference"/>
    <w:basedOn w:val="DefaultParagraphFont"/>
    <w:uiPriority w:val="99"/>
    <w:semiHidden/>
    <w:unhideWhenUsed/>
    <w:rsid w:val="00E66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0F2B-308C-4C2C-AB9C-BBA07DBF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Kell, Tain</cp:lastModifiedBy>
  <cp:revision>1</cp:revision>
  <dcterms:created xsi:type="dcterms:W3CDTF">2019-07-01T20:53:00Z</dcterms:created>
  <dcterms:modified xsi:type="dcterms:W3CDTF">2019-07-01T22:17:00Z</dcterms:modified>
</cp:coreProperties>
</file>