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9CB" w14:textId="7323C099" w:rsidR="00C71331" w:rsidRPr="00C71331" w:rsidRDefault="00003FEF" w:rsidP="00C71331">
      <w:pPr>
        <w:keepNext/>
        <w:spacing w:after="200" w:line="480" w:lineRule="auto"/>
        <w:jc w:val="center"/>
        <w:rPr>
          <w:rFonts w:eastAsia="Times New Roman"/>
          <w:b/>
          <w:color w:val="auto"/>
          <w:kern w:val="0"/>
          <w:sz w:val="28"/>
          <w:szCs w:val="28"/>
          <w14:ligatures w14:val="none"/>
        </w:rPr>
      </w:pPr>
      <w:bookmarkStart w:id="0" w:name="_Hlk144125644"/>
      <w:bookmarkStart w:id="1" w:name="_Hlk111203407"/>
      <w:r>
        <w:rPr>
          <w:rFonts w:eastAsia="Times New Roman"/>
          <w:b/>
          <w:color w:val="auto"/>
          <w:kern w:val="0"/>
          <w:sz w:val="28"/>
          <w:szCs w:val="28"/>
          <w14:ligatures w14:val="none"/>
        </w:rPr>
        <w:t>RECALCITRANT WITNESSES</w:t>
      </w:r>
      <w:r w:rsidR="00C71331" w:rsidRPr="00C71331">
        <w:rPr>
          <w:rFonts w:eastAsia="Times New Roman"/>
          <w:b/>
          <w:color w:val="auto"/>
          <w:kern w:val="0"/>
          <w:sz w:val="28"/>
          <w:szCs w:val="28"/>
          <w14:ligatures w14:val="none"/>
        </w:rPr>
        <w:t xml:space="preserve"> - EPISODE NOTES</w:t>
      </w:r>
      <w:r w:rsidR="004D4931">
        <w:rPr>
          <w:rFonts w:eastAsia="Times New Roman"/>
          <w:b/>
          <w:color w:val="auto"/>
          <w:kern w:val="0"/>
          <w:sz w:val="28"/>
          <w:szCs w:val="28"/>
          <w14:ligatures w14:val="none"/>
        </w:rPr>
        <w:t xml:space="preserve"> </w:t>
      </w:r>
    </w:p>
    <w:bookmarkEnd w:id="0"/>
    <w:p w14:paraId="4EF6EF63" w14:textId="170D770B"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Judge-Ment Podcast.  I am Wade Padgett</w:t>
      </w:r>
    </w:p>
    <w:p w14:paraId="724A7D1B" w14:textId="352256E9" w:rsid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And I am</w:t>
      </w:r>
      <w:r w:rsidR="000B158F">
        <w:rPr>
          <w:rFonts w:eastAsia="Times New Roman"/>
          <w:bCs/>
          <w:i/>
          <w:iCs/>
          <w:color w:val="auto"/>
          <w:kern w:val="0"/>
          <w:sz w:val="28"/>
          <w:szCs w:val="28"/>
          <w14:ligatures w14:val="none"/>
        </w:rPr>
        <w:t xml:space="preserve"> still</w:t>
      </w:r>
      <w:r w:rsidRPr="00C71331">
        <w:rPr>
          <w:rFonts w:eastAsia="Times New Roman"/>
          <w:bCs/>
          <w:i/>
          <w:iCs/>
          <w:color w:val="auto"/>
          <w:kern w:val="0"/>
          <w:sz w:val="28"/>
          <w:szCs w:val="28"/>
          <w14:ligatures w14:val="none"/>
        </w:rPr>
        <w:t xml:space="preserve"> Tain Kell. </w:t>
      </w:r>
    </w:p>
    <w:p w14:paraId="5B9DCF50" w14:textId="2839BFC2" w:rsidR="0084669B" w:rsidRDefault="00003FEF"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Tain-during NJO, we tell new judges that if they ever have an emergency need for assistance while on the bench that they can reach out to us for help.</w:t>
      </w:r>
    </w:p>
    <w:p w14:paraId="1C58085E" w14:textId="7C6D5735" w:rsidR="0084669B" w:rsidRPr="0084669B" w:rsidRDefault="00003FEF"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Yep.  Now that I am retired, I cannot really do that as much anymore – but we do make that “phone a friend” option available to our new judges.</w:t>
      </w:r>
    </w:p>
    <w:p w14:paraId="1ABB4013" w14:textId="77777777" w:rsidR="002E6A62" w:rsidRDefault="002E6A62" w:rsidP="00C71331">
      <w:pPr>
        <w:spacing w:after="200" w:line="480" w:lineRule="auto"/>
        <w:rPr>
          <w:rFonts w:eastAsia="Times New Roman"/>
          <w:bCs/>
          <w:i/>
          <w:iCs/>
          <w:color w:val="auto"/>
          <w:kern w:val="0"/>
          <w:sz w:val="28"/>
          <w:szCs w:val="28"/>
          <w14:ligatures w14:val="none"/>
        </w:rPr>
      </w:pPr>
      <w:r>
        <w:rPr>
          <w:rFonts w:eastAsia="Times New Roman"/>
          <w:bCs/>
          <w:color w:val="auto"/>
          <w:kern w:val="0"/>
          <w:sz w:val="28"/>
          <w:szCs w:val="28"/>
          <w14:ligatures w14:val="none"/>
        </w:rPr>
        <w:t>I have received a few calls lately about a subject that can often “pop up” with little warning – and it has come up with enough frequency that I thought we should discuss it here</w:t>
      </w:r>
      <w:r w:rsidR="00003FEF">
        <w:rPr>
          <w:rFonts w:eastAsia="Times New Roman"/>
          <w:bCs/>
          <w:i/>
          <w:iCs/>
          <w:color w:val="auto"/>
          <w:kern w:val="0"/>
          <w:sz w:val="28"/>
          <w:szCs w:val="28"/>
          <w14:ligatures w14:val="none"/>
        </w:rPr>
        <w:t xml:space="preserve">. </w:t>
      </w:r>
    </w:p>
    <w:p w14:paraId="17C994E9" w14:textId="4EC9416A" w:rsidR="00776F4B" w:rsidRDefault="002E6A62"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I am glad we are talking about something that happens “IRL” (In Real Life).  I am so hip to all the cool acronyms -</w:t>
      </w:r>
      <w:r w:rsidR="00003FEF">
        <w:rPr>
          <w:rFonts w:eastAsia="Times New Roman"/>
          <w:bCs/>
          <w:i/>
          <w:iCs/>
          <w:color w:val="auto"/>
          <w:kern w:val="0"/>
          <w:sz w:val="28"/>
          <w:szCs w:val="28"/>
          <w14:ligatures w14:val="none"/>
        </w:rPr>
        <w:t xml:space="preserve"> So what are we discussing today?</w:t>
      </w:r>
    </w:p>
    <w:p w14:paraId="5E4F7215" w14:textId="68BCDAAC" w:rsidR="00003FEF" w:rsidRDefault="00003FEF"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Recalcitrant Witnesses.</w:t>
      </w:r>
    </w:p>
    <w:p w14:paraId="0373A7D2" w14:textId="684E5712" w:rsidR="00003FEF" w:rsidRDefault="00003FEF"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Wow- so proud of your thesaurus work over the holidays.  But have we not already discussed this topic in prior episodes?</w:t>
      </w:r>
    </w:p>
    <w:p w14:paraId="6593CB65" w14:textId="49E3EDEE" w:rsidR="00003FEF" w:rsidRPr="00003FEF" w:rsidRDefault="00003FEF"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Not direct</w:t>
      </w:r>
      <w:r w:rsidR="00BD7D6A">
        <w:rPr>
          <w:rFonts w:eastAsia="Times New Roman"/>
          <w:bCs/>
          <w:color w:val="auto"/>
          <w:kern w:val="0"/>
          <w:sz w:val="28"/>
          <w:szCs w:val="28"/>
          <w14:ligatures w14:val="none"/>
        </w:rPr>
        <w:t>ly – we have a whole series on how to try a criminal case and other topics dealing with impeachment and similar topics – but nothing solely on dealing with witnesses who do not want to testify.</w:t>
      </w:r>
    </w:p>
    <w:p w14:paraId="488BBE9E" w14:textId="2AEA3C85" w:rsidR="00DE5597" w:rsidRPr="00DE5597" w:rsidRDefault="00DE5597"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This episode will be full of statutory and case law citations and you can find the outline at goodjudgepod.com</w:t>
      </w:r>
      <w:r w:rsidR="0084669B">
        <w:rPr>
          <w:rFonts w:eastAsia="Times New Roman"/>
          <w:bCs/>
          <w:i/>
          <w:iCs/>
          <w:color w:val="auto"/>
          <w:kern w:val="0"/>
          <w:sz w:val="28"/>
          <w:szCs w:val="28"/>
          <w14:ligatures w14:val="none"/>
        </w:rPr>
        <w:t xml:space="preserve">.  So let’s </w:t>
      </w:r>
      <w:r w:rsidR="00BD7D6A">
        <w:rPr>
          <w:rFonts w:eastAsia="Times New Roman"/>
          <w:bCs/>
          <w:i/>
          <w:iCs/>
          <w:color w:val="auto"/>
          <w:kern w:val="0"/>
          <w:sz w:val="28"/>
          <w:szCs w:val="28"/>
          <w14:ligatures w14:val="none"/>
        </w:rPr>
        <w:t>dive into how to deal with a recalcitrant witness</w:t>
      </w:r>
    </w:p>
    <w:p w14:paraId="255A5DB4" w14:textId="77777777" w:rsidR="00C71331" w:rsidRPr="00C71331" w:rsidRDefault="00000000"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6419F390">
          <v:rect id="_x0000_i1026" style="width:0;height:1.5pt" o:hralign="center" o:hrstd="t" o:hr="t" fillcolor="#a0a0a0" stroked="f"/>
        </w:pict>
      </w:r>
    </w:p>
    <w:p w14:paraId="36D5403B" w14:textId="49027769" w:rsidR="00BD7D6A" w:rsidRDefault="00BD7D6A"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Let’s begin with a scenario:</w:t>
      </w:r>
    </w:p>
    <w:p w14:paraId="1E919B56" w14:textId="0540BCA2" w:rsidR="00BD7D6A" w:rsidRDefault="00BD7D6A"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Defendant on trial in a criminal case.  Witness is under subpoena and tells court personnel that he does not intend to answer any questions.  Nothing more than that for now – merely a rumor around the courtroom that the witness (not the defendant on trial) </w:t>
      </w:r>
      <w:r w:rsidR="00EE4C8F">
        <w:rPr>
          <w:rFonts w:eastAsia="Times New Roman"/>
          <w:bCs/>
          <w:color w:val="auto"/>
          <w:kern w:val="0"/>
          <w:sz w:val="28"/>
          <w:szCs w:val="28"/>
          <w14:ligatures w14:val="none"/>
        </w:rPr>
        <w:t>does not intend to answer questions.</w:t>
      </w:r>
    </w:p>
    <w:p w14:paraId="26041681" w14:textId="3175C8DA" w:rsidR="00EE4C8F" w:rsidRDefault="00EE4C8F"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05A8A2AF">
          <v:rect id="_x0000_i1042" style="width:0;height:1.5pt" o:hralign="center" o:hrstd="t" o:hr="t" fillcolor="#a0a0a0" stroked="f"/>
        </w:pict>
      </w:r>
    </w:p>
    <w:p w14:paraId="67D11D65" w14:textId="1AA54E84" w:rsidR="00BD7D6A" w:rsidRDefault="00EE4C8F"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As you can see, a slight variation in these facts may lead to an entirely different outcome </w:t>
      </w:r>
    </w:p>
    <w:p w14:paraId="7218E8C8" w14:textId="0766F827" w:rsidR="00EE4C8F" w:rsidRDefault="00EE4C8F" w:rsidP="00EE4C8F">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For example, if the “witness” is a defendant or co-defendant, there is an entirely different outcome (and procedure) </w:t>
      </w:r>
    </w:p>
    <w:p w14:paraId="0E8601D7" w14:textId="70A0691B" w:rsidR="00EE4C8F" w:rsidRDefault="00EE4C8F" w:rsidP="00EE4C8F">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If the witness speaks another language or is deaf, there is an entirely different outcome (and procedure)</w:t>
      </w:r>
    </w:p>
    <w:p w14:paraId="2AFF6BF2" w14:textId="78E26677" w:rsidR="00EE4C8F" w:rsidRDefault="00EE4C8F" w:rsidP="00EE4C8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For now, let’s focus simply on the “rumor” that makes it back to the judge – the witness has not taken the stand and said anything directly on the topic</w:t>
      </w:r>
    </w:p>
    <w:p w14:paraId="32C26247" w14:textId="77E0BB7E" w:rsidR="00EE4C8F" w:rsidRDefault="00EE4C8F" w:rsidP="00EE4C8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5EDDA3C6">
          <v:rect id="_x0000_i1049" style="width:0;height:1.5pt" o:hralign="center" o:bullet="t" o:hrstd="t" o:hr="t" fillcolor="#a0a0a0" stroked="f"/>
        </w:pict>
      </w:r>
    </w:p>
    <w:p w14:paraId="3DF42C7C" w14:textId="109C584C" w:rsidR="00EE4C8F" w:rsidRDefault="00EE4C8F" w:rsidP="00EE4C8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Which brings us to the first – and maybe most important point – when a rumor of potential trouble makes its way to the judge, the judge has the luxury of time – the judge can call time out and prepare for this scenario</w:t>
      </w:r>
    </w:p>
    <w:p w14:paraId="706BCD05" w14:textId="72A53C63" w:rsidR="00ED09FF" w:rsidRDefault="00ED09FF" w:rsidP="00ED09FF">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We remind new judges that this job is not a pop quiz – it is open notes.</w:t>
      </w:r>
    </w:p>
    <w:p w14:paraId="5AC29FF4" w14:textId="7142D8B1" w:rsidR="00ED09FF" w:rsidRDefault="00ED09FF" w:rsidP="00ED09F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key is understanding that you (the judge) have the ability to call time out and get prepared.  The key is that you need notes/memos/outlines from podcasts/ etc. handy so that when you take that time out, you are not opening a book on the subject for the first time.</w:t>
      </w:r>
    </w:p>
    <w:p w14:paraId="41261CB8" w14:textId="6A0C4238" w:rsidR="00ED09FF" w:rsidRDefault="00ED09FF" w:rsidP="00ED09FF">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Unfortunately, you do not always know what is coming in any given trial – so having a trial notebook (whether it is paper, electronic, or simply a bunch of cases in a file folder) is of vital importance.</w:t>
      </w:r>
    </w:p>
    <w:p w14:paraId="29EB7722" w14:textId="41E50B3B" w:rsidR="00ED09FF" w:rsidRDefault="00ED09FF" w:rsidP="00ED09F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The next key point in our original scenario is that the witness has not refused to answer any questions during the actual trial just yet – the judge may have heard the rumor from the lawyers, the bailiffs, or from whatever source – but for now it is simply a rumor</w:t>
      </w:r>
    </w:p>
    <w:p w14:paraId="198D5989" w14:textId="57A933F6" w:rsidR="002E6A62" w:rsidRDefault="002E6A62" w:rsidP="001504C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And we are calling it a “rumor.”  We are not implying that the judge is engaging in ex </w:t>
      </w:r>
      <w:proofErr w:type="spellStart"/>
      <w:r>
        <w:rPr>
          <w:rFonts w:eastAsia="Times New Roman"/>
          <w:bCs/>
          <w:color w:val="auto"/>
          <w:kern w:val="0"/>
          <w:sz w:val="28"/>
          <w:szCs w:val="28"/>
          <w14:ligatures w14:val="none"/>
        </w:rPr>
        <w:t>parte</w:t>
      </w:r>
      <w:proofErr w:type="spellEnd"/>
      <w:r>
        <w:rPr>
          <w:rFonts w:eastAsia="Times New Roman"/>
          <w:bCs/>
          <w:color w:val="auto"/>
          <w:kern w:val="0"/>
          <w:sz w:val="28"/>
          <w:szCs w:val="28"/>
          <w14:ligatures w14:val="none"/>
        </w:rPr>
        <w:t xml:space="preserve"> communications with anyone – only that it is something that has not happened yet but could be coming up during the trial – it might have been raised in pretrial motions or elsewhere – we are calling it a “rumor” as a shorthand way </w:t>
      </w:r>
      <w:r w:rsidR="001504C0">
        <w:rPr>
          <w:rFonts w:eastAsia="Times New Roman"/>
          <w:bCs/>
          <w:color w:val="auto"/>
          <w:kern w:val="0"/>
          <w:sz w:val="28"/>
          <w:szCs w:val="28"/>
          <w14:ligatures w14:val="none"/>
        </w:rPr>
        <w:t>of describing any number of scenarios – with the important point being that the witness has not said anything formal just yet</w:t>
      </w:r>
    </w:p>
    <w:p w14:paraId="7F2F1E3E" w14:textId="4DA832E6" w:rsidR="001504C0" w:rsidRDefault="001504C0" w:rsidP="001504C0">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Let us assume that this recalcitrant witness is the next person the party plans to call to the stand – and the judge has some inkling that the witness is going to refuse to answer questions while on the stand</w:t>
      </w:r>
    </w:p>
    <w:p w14:paraId="759C1FBD" w14:textId="5EF6204E" w:rsidR="001504C0" w:rsidRDefault="001504C0" w:rsidP="001504C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1) </w:t>
      </w:r>
      <w:r w:rsidRPr="00EB19D2">
        <w:rPr>
          <w:rFonts w:eastAsia="Times New Roman"/>
          <w:b/>
          <w:color w:val="auto"/>
          <w:kern w:val="0"/>
          <w:sz w:val="28"/>
          <w:szCs w:val="28"/>
          <w14:ligatures w14:val="none"/>
        </w:rPr>
        <w:t>SEND THE JURY OUT!</w:t>
      </w:r>
      <w:r w:rsidR="00EB19D2">
        <w:rPr>
          <w:rFonts w:eastAsia="Times New Roman"/>
          <w:bCs/>
          <w:color w:val="auto"/>
          <w:kern w:val="0"/>
          <w:sz w:val="28"/>
          <w:szCs w:val="28"/>
          <w14:ligatures w14:val="none"/>
        </w:rPr>
        <w:t xml:space="preserve"> We cannot stress this enough – send the jury out when you, as the judge, have an inkling that there is a problem with a witness.</w:t>
      </w:r>
    </w:p>
    <w:p w14:paraId="0B14A883" w14:textId="6807F949" w:rsidR="001504C0" w:rsidRDefault="001504C0" w:rsidP="001504C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 xml:space="preserve">2) </w:t>
      </w:r>
      <w:r w:rsidRPr="00EB19D2">
        <w:rPr>
          <w:rFonts w:eastAsia="Times New Roman"/>
          <w:bCs/>
          <w:color w:val="auto"/>
          <w:kern w:val="0"/>
          <w:sz w:val="28"/>
          <w:szCs w:val="28"/>
          <w:u w:val="single"/>
          <w14:ligatures w14:val="none"/>
        </w:rPr>
        <w:t>OUTSIDE THE PRESENCE OF THE JURY</w:t>
      </w:r>
      <w:r>
        <w:rPr>
          <w:rFonts w:eastAsia="Times New Roman"/>
          <w:bCs/>
          <w:color w:val="auto"/>
          <w:kern w:val="0"/>
          <w:sz w:val="28"/>
          <w:szCs w:val="28"/>
          <w14:ligatures w14:val="none"/>
        </w:rPr>
        <w:t>, have the oath administered to the witness and then make a determination whether the witness is:</w:t>
      </w:r>
    </w:p>
    <w:p w14:paraId="537C1676" w14:textId="239A6D4A" w:rsidR="001504C0" w:rsidRDefault="001504C0" w:rsidP="001504C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r>
      <w:r w:rsidR="00EB19D2">
        <w:rPr>
          <w:rFonts w:eastAsia="Times New Roman"/>
          <w:bCs/>
          <w:color w:val="auto"/>
          <w:kern w:val="0"/>
          <w:sz w:val="28"/>
          <w:szCs w:val="28"/>
          <w14:ligatures w14:val="none"/>
        </w:rPr>
        <w:t>a)</w:t>
      </w:r>
      <w:r w:rsidR="00EB19D2">
        <w:rPr>
          <w:rFonts w:eastAsia="Times New Roman"/>
          <w:bCs/>
          <w:color w:val="auto"/>
          <w:kern w:val="0"/>
          <w:sz w:val="28"/>
          <w:szCs w:val="28"/>
          <w14:ligatures w14:val="none"/>
        </w:rPr>
        <w:tab/>
      </w:r>
      <w:r w:rsidR="000B359D">
        <w:rPr>
          <w:rFonts w:eastAsia="Times New Roman"/>
          <w:bCs/>
          <w:color w:val="auto"/>
          <w:kern w:val="0"/>
          <w:sz w:val="28"/>
          <w:szCs w:val="28"/>
          <w14:ligatures w14:val="none"/>
        </w:rPr>
        <w:t>Attempting to raise his right against self-incrimination</w:t>
      </w:r>
      <w:r w:rsidR="00EB19D2">
        <w:rPr>
          <w:rFonts w:eastAsia="Times New Roman"/>
          <w:bCs/>
          <w:color w:val="auto"/>
          <w:kern w:val="0"/>
          <w:sz w:val="28"/>
          <w:szCs w:val="28"/>
          <w14:ligatures w14:val="none"/>
        </w:rPr>
        <w:t>; or</w:t>
      </w:r>
    </w:p>
    <w:p w14:paraId="61D345D9" w14:textId="765F6860" w:rsidR="00EB19D2" w:rsidRDefault="00EB19D2" w:rsidP="001504C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t>b)</w:t>
      </w:r>
      <w:r>
        <w:rPr>
          <w:rFonts w:eastAsia="Times New Roman"/>
          <w:bCs/>
          <w:color w:val="auto"/>
          <w:kern w:val="0"/>
          <w:sz w:val="28"/>
          <w:szCs w:val="28"/>
          <w14:ligatures w14:val="none"/>
        </w:rPr>
        <w:tab/>
      </w:r>
      <w:r w:rsidR="000B359D">
        <w:rPr>
          <w:rFonts w:eastAsia="Times New Roman"/>
          <w:bCs/>
          <w:color w:val="auto"/>
          <w:kern w:val="0"/>
          <w:sz w:val="28"/>
          <w:szCs w:val="28"/>
          <w14:ligatures w14:val="none"/>
        </w:rPr>
        <w:t>Simply refusing to speak</w:t>
      </w:r>
      <w:r>
        <w:rPr>
          <w:rFonts w:eastAsia="Times New Roman"/>
          <w:bCs/>
          <w:color w:val="auto"/>
          <w:kern w:val="0"/>
          <w:sz w:val="28"/>
          <w:szCs w:val="28"/>
          <w14:ligatures w14:val="none"/>
        </w:rPr>
        <w:t>; or</w:t>
      </w:r>
    </w:p>
    <w:p w14:paraId="58277507" w14:textId="105538D9" w:rsidR="00EB19D2" w:rsidRDefault="00EB19D2" w:rsidP="001504C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t>c)</w:t>
      </w:r>
      <w:r>
        <w:rPr>
          <w:rFonts w:eastAsia="Times New Roman"/>
          <w:bCs/>
          <w:color w:val="auto"/>
          <w:kern w:val="0"/>
          <w:sz w:val="28"/>
          <w:szCs w:val="28"/>
          <w14:ligatures w14:val="none"/>
        </w:rPr>
        <w:tab/>
        <w:t>There is some other problem.</w:t>
      </w:r>
    </w:p>
    <w:p w14:paraId="22CA9A5F" w14:textId="4C583EBE" w:rsidR="003B5A91" w:rsidRDefault="00000000"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175786AE">
          <v:rect id="_x0000_i1050" style="width:0;height:1.5pt" o:hralign="center" o:hrstd="t" o:hr="t" fillcolor="#a0a0a0" stroked="f"/>
        </w:pict>
      </w:r>
    </w:p>
    <w:p w14:paraId="6306AE88" w14:textId="71D7B27A" w:rsidR="002E6A62" w:rsidRDefault="00EB19D2" w:rsidP="005B2AAC">
      <w:pPr>
        <w:spacing w:before="120" w:after="240" w:line="480" w:lineRule="auto"/>
        <w:rPr>
          <w:rFonts w:eastAsia="Times New Roman"/>
          <w:bCs/>
          <w:color w:val="auto"/>
          <w:kern w:val="0"/>
          <w:sz w:val="28"/>
          <w:szCs w:val="28"/>
          <w14:ligatures w14:val="none"/>
        </w:rPr>
      </w:pPr>
      <w:r>
        <w:rPr>
          <w:rFonts w:eastAsia="Times New Roman"/>
          <w:b/>
          <w:color w:val="auto"/>
          <w:kern w:val="0"/>
          <w:sz w:val="28"/>
          <w:szCs w:val="28"/>
          <w:u w:val="single"/>
          <w14:ligatures w14:val="none"/>
        </w:rPr>
        <w:t>PRIVILEGE AGAINST SELF-INCRIMINATION</w:t>
      </w:r>
    </w:p>
    <w:p w14:paraId="058617F3" w14:textId="442C2947" w:rsidR="00EB19D2" w:rsidRDefault="00EB19D2" w:rsidP="005B2AAC">
      <w:pPr>
        <w:spacing w:before="120" w:after="240" w:line="480" w:lineRule="auto"/>
        <w:rPr>
          <w:rFonts w:eastAsia="Times New Roman"/>
          <w:bCs/>
          <w:color w:val="auto"/>
          <w:kern w:val="0"/>
          <w:sz w:val="28"/>
          <w:szCs w:val="28"/>
          <w14:ligatures w14:val="none"/>
        </w:rPr>
      </w:pPr>
      <w:r w:rsidRPr="00EB19D2">
        <w:rPr>
          <w:rFonts w:eastAsia="Times New Roman"/>
          <w:bCs/>
          <w:color w:val="auto"/>
          <w:kern w:val="0"/>
          <w:sz w:val="28"/>
          <w:szCs w:val="28"/>
          <w14:ligatures w14:val="none"/>
        </w:rPr>
        <w:t>O.C.G.A § 24-5-505 provides the statutory basis of the privilege against self-incrimination.  The Georgia Constitution also includes the privilege as a Constitutional provision.</w:t>
      </w:r>
      <w:r>
        <w:rPr>
          <w:rStyle w:val="EndnoteReference"/>
          <w:rFonts w:eastAsia="Times New Roman"/>
          <w:bCs/>
          <w:kern w:val="0"/>
          <w:szCs w:val="28"/>
          <w14:ligatures w14:val="none"/>
        </w:rPr>
        <w:endnoteReference w:id="1"/>
      </w:r>
    </w:p>
    <w:p w14:paraId="7B2797E3" w14:textId="77777777" w:rsidR="000B359D" w:rsidRDefault="000B359D" w:rsidP="005B2AAC">
      <w:pPr>
        <w:spacing w:before="120" w:after="240" w:line="480" w:lineRule="auto"/>
        <w:rPr>
          <w:rFonts w:eastAsia="Times New Roman"/>
          <w:bCs/>
          <w:color w:val="auto"/>
          <w:kern w:val="0"/>
          <w:sz w:val="28"/>
          <w:szCs w:val="28"/>
          <w14:ligatures w14:val="none"/>
        </w:rPr>
      </w:pPr>
      <w:r w:rsidRPr="000B359D">
        <w:rPr>
          <w:rFonts w:eastAsia="Times New Roman"/>
          <w:bCs/>
          <w:color w:val="auto"/>
          <w:kern w:val="0"/>
          <w:sz w:val="28"/>
          <w:szCs w:val="28"/>
          <w14:ligatures w14:val="none"/>
        </w:rPr>
        <w:t>The privilege belongs to the witness and the defendant on trial has no standing to raise the privilege on behalf of the witness.</w:t>
      </w:r>
      <w:r w:rsidRPr="000B359D">
        <w:rPr>
          <w:rFonts w:eastAsia="Times New Roman"/>
          <w:b/>
          <w:bCs/>
          <w:color w:val="auto"/>
          <w:kern w:val="0"/>
          <w:sz w:val="28"/>
          <w:szCs w:val="28"/>
          <w:vertAlign w:val="superscript"/>
          <w14:ligatures w14:val="none"/>
        </w:rPr>
        <w:endnoteReference w:id="2"/>
      </w:r>
      <w:r w:rsidRPr="000B359D">
        <w:rPr>
          <w:rFonts w:eastAsia="Times New Roman"/>
          <w:bCs/>
          <w:color w:val="auto"/>
          <w:kern w:val="0"/>
          <w:sz w:val="28"/>
          <w:szCs w:val="28"/>
          <w14:ligatures w14:val="none"/>
        </w:rPr>
        <w:t xml:space="preserve"> </w:t>
      </w:r>
    </w:p>
    <w:p w14:paraId="50A7A31B" w14:textId="77777777" w:rsidR="000B359D" w:rsidRDefault="000B359D" w:rsidP="005B2AAC">
      <w:pPr>
        <w:spacing w:before="120" w:after="240" w:line="480" w:lineRule="auto"/>
        <w:rPr>
          <w:rFonts w:eastAsia="Times New Roman"/>
          <w:bCs/>
          <w:color w:val="auto"/>
          <w:kern w:val="0"/>
          <w:sz w:val="28"/>
          <w:szCs w:val="28"/>
          <w14:ligatures w14:val="none"/>
        </w:rPr>
      </w:pPr>
      <w:r w:rsidRPr="000B359D">
        <w:rPr>
          <w:rFonts w:eastAsia="Times New Roman"/>
          <w:bCs/>
          <w:color w:val="auto"/>
          <w:kern w:val="0"/>
          <w:sz w:val="28"/>
          <w:szCs w:val="28"/>
          <w14:ligatures w14:val="none"/>
        </w:rPr>
        <w:t xml:space="preserve">The defendant lacks standing to assert another person’s privilege against self-incrimination and also lacks standing to object to a statement taken from another person in violation of that other person’s </w:t>
      </w:r>
      <w:r w:rsidRPr="000B359D">
        <w:rPr>
          <w:rFonts w:eastAsia="Times New Roman"/>
          <w:bCs/>
          <w:i/>
          <w:color w:val="auto"/>
          <w:kern w:val="0"/>
          <w:sz w:val="28"/>
          <w:szCs w:val="28"/>
          <w14:ligatures w14:val="none"/>
        </w:rPr>
        <w:t>Miranda</w:t>
      </w:r>
      <w:r w:rsidRPr="000B359D">
        <w:rPr>
          <w:rFonts w:eastAsia="Times New Roman"/>
          <w:bCs/>
          <w:color w:val="auto"/>
          <w:kern w:val="0"/>
          <w:sz w:val="28"/>
          <w:szCs w:val="28"/>
          <w14:ligatures w14:val="none"/>
        </w:rPr>
        <w:t xml:space="preserve"> rights.</w:t>
      </w:r>
      <w:r w:rsidRPr="000B359D">
        <w:rPr>
          <w:rFonts w:eastAsia="Times New Roman"/>
          <w:b/>
          <w:bCs/>
          <w:color w:val="auto"/>
          <w:kern w:val="0"/>
          <w:sz w:val="28"/>
          <w:szCs w:val="28"/>
          <w:vertAlign w:val="superscript"/>
          <w14:ligatures w14:val="none"/>
        </w:rPr>
        <w:endnoteReference w:id="3"/>
      </w:r>
      <w:r w:rsidRPr="000B359D">
        <w:rPr>
          <w:rFonts w:eastAsia="Times New Roman"/>
          <w:bCs/>
          <w:color w:val="auto"/>
          <w:kern w:val="0"/>
          <w:sz w:val="28"/>
          <w:szCs w:val="28"/>
          <w14:ligatures w14:val="none"/>
        </w:rPr>
        <w:t xml:space="preserve">  </w:t>
      </w:r>
    </w:p>
    <w:p w14:paraId="245FB372" w14:textId="77777777" w:rsidR="000B359D" w:rsidRDefault="000B359D" w:rsidP="005B2AAC">
      <w:pPr>
        <w:spacing w:before="120" w:after="240" w:line="480" w:lineRule="auto"/>
        <w:rPr>
          <w:rFonts w:eastAsia="Times New Roman"/>
          <w:bCs/>
          <w:color w:val="auto"/>
          <w:kern w:val="0"/>
          <w:sz w:val="28"/>
          <w:szCs w:val="28"/>
          <w14:ligatures w14:val="none"/>
        </w:rPr>
      </w:pPr>
      <w:r w:rsidRPr="000B359D">
        <w:rPr>
          <w:rFonts w:eastAsia="Times New Roman"/>
          <w:bCs/>
          <w:color w:val="auto"/>
          <w:kern w:val="0"/>
          <w:sz w:val="28"/>
          <w:szCs w:val="28"/>
          <w14:ligatures w14:val="none"/>
        </w:rPr>
        <w:t>The privilege remains available to the witness “through sentencing.”</w:t>
      </w:r>
      <w:r w:rsidRPr="000B359D">
        <w:rPr>
          <w:rFonts w:eastAsia="Times New Roman"/>
          <w:b/>
          <w:bCs/>
          <w:color w:val="auto"/>
          <w:kern w:val="0"/>
          <w:sz w:val="28"/>
          <w:szCs w:val="28"/>
          <w:vertAlign w:val="superscript"/>
          <w14:ligatures w14:val="none"/>
        </w:rPr>
        <w:endnoteReference w:id="4"/>
      </w:r>
      <w:r w:rsidRPr="000B359D">
        <w:rPr>
          <w:rFonts w:eastAsia="Times New Roman"/>
          <w:bCs/>
          <w:color w:val="auto"/>
          <w:kern w:val="0"/>
          <w:sz w:val="28"/>
          <w:szCs w:val="28"/>
          <w14:ligatures w14:val="none"/>
        </w:rPr>
        <w:t xml:space="preserve">  </w:t>
      </w:r>
    </w:p>
    <w:p w14:paraId="61DFD4F7" w14:textId="77777777" w:rsidR="000B359D" w:rsidRDefault="000B359D" w:rsidP="000B359D">
      <w:pPr>
        <w:spacing w:before="120" w:after="240" w:line="480" w:lineRule="auto"/>
        <w:ind w:left="720"/>
        <w:rPr>
          <w:rFonts w:eastAsia="Times New Roman"/>
          <w:bCs/>
          <w:color w:val="auto"/>
          <w:kern w:val="0"/>
          <w:sz w:val="28"/>
          <w:szCs w:val="28"/>
          <w14:ligatures w14:val="none"/>
        </w:rPr>
      </w:pPr>
      <w:r w:rsidRPr="000B359D">
        <w:rPr>
          <w:rFonts w:eastAsia="Times New Roman"/>
          <w:bCs/>
          <w:color w:val="auto"/>
          <w:kern w:val="0"/>
          <w:sz w:val="28"/>
          <w:szCs w:val="28"/>
          <w14:ligatures w14:val="none"/>
        </w:rPr>
        <w:lastRenderedPageBreak/>
        <w:t>Where a co-defendant has entered a guilty plea and has not appealed, the witness cannot refuse to testify based upon 5</w:t>
      </w:r>
      <w:r w:rsidRPr="000B359D">
        <w:rPr>
          <w:rFonts w:eastAsia="Times New Roman"/>
          <w:bCs/>
          <w:color w:val="auto"/>
          <w:kern w:val="0"/>
          <w:sz w:val="28"/>
          <w:szCs w:val="28"/>
          <w:vertAlign w:val="superscript"/>
          <w14:ligatures w14:val="none"/>
        </w:rPr>
        <w:t>th</w:t>
      </w:r>
      <w:r w:rsidRPr="000B359D">
        <w:rPr>
          <w:rFonts w:eastAsia="Times New Roman"/>
          <w:bCs/>
          <w:color w:val="auto"/>
          <w:kern w:val="0"/>
          <w:sz w:val="28"/>
          <w:szCs w:val="28"/>
          <w14:ligatures w14:val="none"/>
        </w:rPr>
        <w:t xml:space="preserve"> Amendment grounds.</w:t>
      </w:r>
      <w:r w:rsidRPr="000B359D">
        <w:rPr>
          <w:rFonts w:eastAsia="Times New Roman"/>
          <w:b/>
          <w:bCs/>
          <w:color w:val="auto"/>
          <w:kern w:val="0"/>
          <w:sz w:val="28"/>
          <w:szCs w:val="28"/>
          <w:vertAlign w:val="superscript"/>
          <w14:ligatures w14:val="none"/>
        </w:rPr>
        <w:endnoteReference w:id="5"/>
      </w:r>
      <w:r w:rsidRPr="000B359D">
        <w:rPr>
          <w:rFonts w:eastAsia="Times New Roman"/>
          <w:bCs/>
          <w:color w:val="auto"/>
          <w:kern w:val="0"/>
          <w:sz w:val="28"/>
          <w:szCs w:val="28"/>
          <w14:ligatures w14:val="none"/>
        </w:rPr>
        <w:t xml:space="preserve">  </w:t>
      </w:r>
    </w:p>
    <w:p w14:paraId="65C8B317" w14:textId="2BE71AD1" w:rsidR="000B359D" w:rsidRDefault="000B359D" w:rsidP="000B359D">
      <w:pPr>
        <w:spacing w:before="120" w:after="240" w:line="480" w:lineRule="auto"/>
        <w:ind w:left="720"/>
        <w:rPr>
          <w:rFonts w:eastAsia="Times New Roman"/>
          <w:bCs/>
          <w:color w:val="auto"/>
          <w:kern w:val="0"/>
          <w:sz w:val="28"/>
          <w:szCs w:val="28"/>
          <w14:ligatures w14:val="none"/>
        </w:rPr>
      </w:pPr>
      <w:r w:rsidRPr="000B359D">
        <w:rPr>
          <w:rFonts w:eastAsia="Times New Roman"/>
          <w:bCs/>
          <w:color w:val="auto"/>
          <w:kern w:val="0"/>
          <w:sz w:val="28"/>
          <w:szCs w:val="28"/>
          <w14:ligatures w14:val="none"/>
        </w:rPr>
        <w:t>The State can comment on a witness’ silence or failure to come forward after the crime.</w:t>
      </w:r>
      <w:r w:rsidRPr="000B359D">
        <w:rPr>
          <w:rFonts w:eastAsia="Times New Roman"/>
          <w:b/>
          <w:bCs/>
          <w:color w:val="auto"/>
          <w:kern w:val="0"/>
          <w:sz w:val="28"/>
          <w:szCs w:val="28"/>
          <w:vertAlign w:val="superscript"/>
          <w14:ligatures w14:val="none"/>
        </w:rPr>
        <w:endnoteReference w:id="6"/>
      </w:r>
    </w:p>
    <w:p w14:paraId="7FA3D2A9" w14:textId="77777777" w:rsidR="000B359D" w:rsidRDefault="000B359D" w:rsidP="000B359D">
      <w:pPr>
        <w:spacing w:before="120" w:after="240" w:line="480" w:lineRule="auto"/>
        <w:rPr>
          <w:rFonts w:eastAsia="Times New Roman"/>
          <w:bCs/>
          <w:color w:val="auto"/>
          <w:kern w:val="0"/>
          <w:sz w:val="28"/>
          <w:szCs w:val="28"/>
          <w14:ligatures w14:val="none"/>
        </w:rPr>
      </w:pPr>
      <w:r w:rsidRPr="000B359D">
        <w:rPr>
          <w:rFonts w:eastAsia="Times New Roman"/>
          <w:bCs/>
          <w:color w:val="auto"/>
          <w:kern w:val="0"/>
          <w:sz w:val="28"/>
          <w:szCs w:val="28"/>
          <w14:ligatures w14:val="none"/>
        </w:rPr>
        <w:t xml:space="preserve">A criminal defendant may assert the privilege on his own behalf, and the defendant can be issued a “blanket assertion of the privilege,” meaning that the defendant does not have to answer any questions.  However, the same is not true for a witness.  </w:t>
      </w:r>
    </w:p>
    <w:p w14:paraId="2F057A25" w14:textId="77777777" w:rsidR="000B359D" w:rsidRDefault="000B359D" w:rsidP="000B359D">
      <w:pPr>
        <w:spacing w:before="120" w:after="240" w:line="480" w:lineRule="auto"/>
        <w:ind w:left="720"/>
        <w:rPr>
          <w:rFonts w:eastAsia="Times New Roman"/>
          <w:bCs/>
          <w:color w:val="auto"/>
          <w:kern w:val="0"/>
          <w:sz w:val="28"/>
          <w:szCs w:val="28"/>
          <w14:ligatures w14:val="none"/>
        </w:rPr>
      </w:pPr>
      <w:r w:rsidRPr="000B359D">
        <w:rPr>
          <w:rFonts w:eastAsia="Times New Roman"/>
          <w:bCs/>
          <w:color w:val="auto"/>
          <w:kern w:val="0"/>
          <w:sz w:val="28"/>
          <w:szCs w:val="28"/>
          <w14:ligatures w14:val="none"/>
        </w:rPr>
        <w:t>The trial court is not required to allow the witness to assert a blanket privilege, and a witness must appear pursuant to a valid subpoena and assert the privilege in response to specific questions posed to the witness.</w:t>
      </w:r>
      <w:r w:rsidRPr="000B359D">
        <w:rPr>
          <w:rFonts w:eastAsia="Times New Roman"/>
          <w:b/>
          <w:bCs/>
          <w:color w:val="auto"/>
          <w:kern w:val="0"/>
          <w:sz w:val="28"/>
          <w:szCs w:val="28"/>
          <w:vertAlign w:val="superscript"/>
          <w14:ligatures w14:val="none"/>
        </w:rPr>
        <w:endnoteReference w:id="7"/>
      </w:r>
    </w:p>
    <w:p w14:paraId="098F8B38" w14:textId="4DB4E016" w:rsidR="000B359D" w:rsidRDefault="000B359D" w:rsidP="000B359D">
      <w:pPr>
        <w:spacing w:before="120" w:after="240" w:line="480" w:lineRule="auto"/>
        <w:rPr>
          <w:rFonts w:eastAsia="Times New Roman"/>
          <w:bCs/>
          <w:color w:val="auto"/>
          <w:kern w:val="0"/>
          <w:sz w:val="28"/>
          <w:szCs w:val="28"/>
          <w14:ligatures w14:val="none"/>
        </w:rPr>
      </w:pPr>
      <w:r w:rsidRPr="000B359D">
        <w:rPr>
          <w:rFonts w:eastAsia="Times New Roman"/>
          <w:bCs/>
          <w:color w:val="auto"/>
          <w:kern w:val="0"/>
          <w:sz w:val="28"/>
          <w:szCs w:val="28"/>
          <w14:ligatures w14:val="none"/>
        </w:rPr>
        <w:t>However, if it appears that the witness intends to raise the privilege to essentially all questions, the trial court has the discretion to refuse to allow the witness to take the witness stand.</w:t>
      </w:r>
      <w:r w:rsidRPr="000B359D">
        <w:rPr>
          <w:rFonts w:eastAsia="Times New Roman"/>
          <w:b/>
          <w:bCs/>
          <w:color w:val="auto"/>
          <w:kern w:val="0"/>
          <w:sz w:val="28"/>
          <w:szCs w:val="28"/>
          <w:vertAlign w:val="superscript"/>
          <w14:ligatures w14:val="none"/>
        </w:rPr>
        <w:endnoteReference w:id="8"/>
      </w:r>
    </w:p>
    <w:p w14:paraId="3BBAA71D" w14:textId="24BD6739" w:rsidR="00C672A3" w:rsidRDefault="00C672A3" w:rsidP="00C672A3">
      <w:pPr>
        <w:spacing w:before="120" w:after="240" w:line="480" w:lineRule="auto"/>
        <w:ind w:left="720"/>
        <w:rPr>
          <w:rFonts w:eastAsia="Times New Roman"/>
          <w:bCs/>
          <w:color w:val="auto"/>
          <w:kern w:val="0"/>
          <w:sz w:val="28"/>
          <w:szCs w:val="28"/>
          <w14:ligatures w14:val="none"/>
        </w:rPr>
      </w:pPr>
      <w:r>
        <w:rPr>
          <w:rFonts w:eastAsia="Times New Roman"/>
          <w:bCs/>
          <w:color w:val="auto"/>
          <w:kern w:val="0"/>
          <w:sz w:val="28"/>
          <w:szCs w:val="28"/>
          <w14:ligatures w14:val="none"/>
        </w:rPr>
        <w:t>“</w:t>
      </w:r>
      <w:r w:rsidRPr="00C672A3">
        <w:rPr>
          <w:rFonts w:eastAsia="Times New Roman"/>
          <w:bCs/>
          <w:color w:val="auto"/>
          <w:kern w:val="0"/>
          <w:sz w:val="28"/>
          <w:szCs w:val="28"/>
          <w14:ligatures w14:val="none"/>
        </w:rPr>
        <w:t xml:space="preserve">If it appears that a witness intends to claim the privilege [against self-incrimination] as to essentially all questions, the court may, in its discretion, refuse to allow him to take the stand. Neither side has the right to benefit from any inferences the jury may draw simply from the witness' assertion of </w:t>
      </w:r>
      <w:r w:rsidRPr="00C672A3">
        <w:rPr>
          <w:rFonts w:eastAsia="Times New Roman"/>
          <w:bCs/>
          <w:color w:val="auto"/>
          <w:kern w:val="0"/>
          <w:sz w:val="28"/>
          <w:szCs w:val="28"/>
          <w14:ligatures w14:val="none"/>
        </w:rPr>
        <w:lastRenderedPageBreak/>
        <w:t>the privilege either alone or in conjunction with questions that have been put to him.” [Cit.] . . . [O]ne reason for this rule is that reliable inferences do not ordinarily follow from a witness' invocation of the Fifth Amendment.</w:t>
      </w:r>
      <w:r>
        <w:rPr>
          <w:rFonts w:eastAsia="Times New Roman"/>
          <w:bCs/>
          <w:color w:val="auto"/>
          <w:kern w:val="0"/>
          <w:sz w:val="28"/>
          <w:szCs w:val="28"/>
          <w14:ligatures w14:val="none"/>
        </w:rPr>
        <w:t>”</w:t>
      </w:r>
      <w:r w:rsidRPr="00C672A3">
        <w:rPr>
          <w:rFonts w:eastAsia="Times New Roman"/>
          <w:b/>
          <w:bCs/>
          <w:color w:val="auto"/>
          <w:kern w:val="0"/>
          <w:sz w:val="28"/>
          <w:szCs w:val="28"/>
          <w:vertAlign w:val="superscript"/>
          <w14:ligatures w14:val="none"/>
        </w:rPr>
        <w:endnoteReference w:id="9"/>
      </w:r>
    </w:p>
    <w:p w14:paraId="397CF647" w14:textId="77777777" w:rsidR="00C672A3" w:rsidRDefault="00C672A3" w:rsidP="00C672A3">
      <w:pPr>
        <w:spacing w:before="120" w:after="240" w:line="480" w:lineRule="auto"/>
        <w:rPr>
          <w:rFonts w:eastAsia="Times New Roman"/>
          <w:bCs/>
          <w:color w:val="auto"/>
          <w:kern w:val="0"/>
          <w:sz w:val="28"/>
          <w:szCs w:val="28"/>
          <w14:ligatures w14:val="none"/>
        </w:rPr>
      </w:pPr>
      <w:r w:rsidRPr="00C672A3">
        <w:rPr>
          <w:rFonts w:eastAsia="Times New Roman"/>
          <w:bCs/>
          <w:color w:val="auto"/>
          <w:kern w:val="0"/>
          <w:sz w:val="28"/>
          <w:szCs w:val="28"/>
          <w14:ligatures w14:val="none"/>
        </w:rPr>
        <w:t xml:space="preserve">The trial court also </w:t>
      </w:r>
      <w:r w:rsidRPr="00C672A3">
        <w:rPr>
          <w:rFonts w:eastAsia="Times New Roman"/>
          <w:bCs/>
          <w:color w:val="auto"/>
          <w:kern w:val="0"/>
          <w:sz w:val="28"/>
          <w:szCs w:val="28"/>
          <w:u w:val="single"/>
          <w14:ligatures w14:val="none"/>
        </w:rPr>
        <w:t>has the discretion</w:t>
      </w:r>
      <w:r w:rsidRPr="00C672A3">
        <w:rPr>
          <w:rFonts w:eastAsia="Times New Roman"/>
          <w:bCs/>
          <w:color w:val="auto"/>
          <w:kern w:val="0"/>
          <w:sz w:val="28"/>
          <w:szCs w:val="28"/>
          <w14:ligatures w14:val="none"/>
        </w:rPr>
        <w:t xml:space="preserve"> to have the witness take the stand and assert the privilege in the presence of the jury.</w:t>
      </w:r>
      <w:r w:rsidRPr="00C672A3">
        <w:rPr>
          <w:rFonts w:eastAsia="Times New Roman"/>
          <w:b/>
          <w:bCs/>
          <w:color w:val="auto"/>
          <w:kern w:val="0"/>
          <w:sz w:val="28"/>
          <w:szCs w:val="28"/>
          <w:vertAlign w:val="superscript"/>
          <w14:ligatures w14:val="none"/>
        </w:rPr>
        <w:endnoteReference w:id="10"/>
      </w:r>
      <w:r w:rsidRPr="00C672A3">
        <w:rPr>
          <w:rFonts w:eastAsia="Times New Roman"/>
          <w:bCs/>
          <w:color w:val="auto"/>
          <w:kern w:val="0"/>
          <w:sz w:val="28"/>
          <w:szCs w:val="28"/>
          <w14:ligatures w14:val="none"/>
        </w:rPr>
        <w:t xml:space="preserve">  </w:t>
      </w:r>
    </w:p>
    <w:p w14:paraId="54EB4D7F" w14:textId="7FDF6D9C" w:rsidR="00C672A3" w:rsidRDefault="00C672A3" w:rsidP="00C672A3">
      <w:pPr>
        <w:spacing w:before="120" w:after="240" w:line="480" w:lineRule="auto"/>
        <w:ind w:left="720"/>
        <w:rPr>
          <w:rFonts w:eastAsia="Times New Roman"/>
          <w:bCs/>
          <w:color w:val="auto"/>
          <w:kern w:val="0"/>
          <w:sz w:val="28"/>
          <w:szCs w:val="28"/>
          <w14:ligatures w14:val="none"/>
        </w:rPr>
      </w:pPr>
      <w:r w:rsidRPr="00C672A3">
        <w:rPr>
          <w:rFonts w:eastAsia="Times New Roman"/>
          <w:bCs/>
          <w:color w:val="auto"/>
          <w:kern w:val="0"/>
          <w:sz w:val="28"/>
          <w:szCs w:val="28"/>
          <w14:ligatures w14:val="none"/>
        </w:rPr>
        <w:t>But the defendant has no right to call a witness who has indicated outside of the presence of the jury that the witness intends to raise the privilege.</w:t>
      </w:r>
      <w:r w:rsidRPr="00C672A3">
        <w:rPr>
          <w:rFonts w:eastAsia="Times New Roman"/>
          <w:b/>
          <w:bCs/>
          <w:color w:val="auto"/>
          <w:kern w:val="0"/>
          <w:sz w:val="28"/>
          <w:szCs w:val="28"/>
          <w:vertAlign w:val="superscript"/>
          <w14:ligatures w14:val="none"/>
        </w:rPr>
        <w:endnoteReference w:id="11"/>
      </w:r>
    </w:p>
    <w:p w14:paraId="5E5E22DE" w14:textId="59EFAA9D" w:rsidR="00C672A3" w:rsidRDefault="00C672A3" w:rsidP="00C672A3">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0744153E">
          <v:rect id="_x0000_i1066" style="width:0;height:1.5pt" o:hralign="center" o:bullet="t" o:hrstd="t" o:hr="t" fillcolor="#a0a0a0" stroked="f"/>
        </w:pict>
      </w:r>
    </w:p>
    <w:p w14:paraId="40FD80ED" w14:textId="3BA7CED9" w:rsidR="00C672A3" w:rsidRDefault="00C672A3" w:rsidP="00C672A3">
      <w:pPr>
        <w:spacing w:before="120" w:after="240" w:line="480" w:lineRule="auto"/>
        <w:rPr>
          <w:rFonts w:eastAsia="Times New Roman"/>
          <w:b/>
          <w:color w:val="auto"/>
          <w:kern w:val="0"/>
          <w:sz w:val="28"/>
          <w:szCs w:val="28"/>
          <w:u w:val="single"/>
          <w14:ligatures w14:val="none"/>
        </w:rPr>
      </w:pPr>
      <w:r w:rsidRPr="00C672A3">
        <w:rPr>
          <w:rFonts w:eastAsia="Times New Roman"/>
          <w:b/>
          <w:color w:val="auto"/>
          <w:kern w:val="0"/>
          <w:sz w:val="28"/>
          <w:szCs w:val="28"/>
          <w:u w:val="single"/>
          <w14:ligatures w14:val="none"/>
        </w:rPr>
        <w:t xml:space="preserve">SELF-INCRIMINATION </w:t>
      </w:r>
      <w:r>
        <w:rPr>
          <w:rFonts w:eastAsia="Times New Roman"/>
          <w:b/>
          <w:color w:val="auto"/>
          <w:kern w:val="0"/>
          <w:sz w:val="28"/>
          <w:szCs w:val="28"/>
          <w:u w:val="single"/>
          <w14:ligatures w14:val="none"/>
        </w:rPr>
        <w:t>–</w:t>
      </w:r>
      <w:r w:rsidRPr="00C672A3">
        <w:rPr>
          <w:rFonts w:eastAsia="Times New Roman"/>
          <w:b/>
          <w:color w:val="auto"/>
          <w:kern w:val="0"/>
          <w:sz w:val="28"/>
          <w:szCs w:val="28"/>
          <w:u w:val="single"/>
          <w14:ligatures w14:val="none"/>
        </w:rPr>
        <w:t xml:space="preserve"> PROCEDURE</w:t>
      </w:r>
    </w:p>
    <w:p w14:paraId="5D1F8817" w14:textId="1B316C54" w:rsidR="00C672A3" w:rsidRDefault="00120C56" w:rsidP="00C672A3">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(Would you provide counsel to the witness – or attempt to have his/her prior lawyer summoned to speak privately with the witness?)</w:t>
      </w:r>
    </w:p>
    <w:p w14:paraId="7A8DF5D1" w14:textId="77777777" w:rsidR="00120C56" w:rsidRDefault="00120C56" w:rsidP="00120C56">
      <w:pPr>
        <w:spacing w:before="120" w:after="240" w:line="480" w:lineRule="auto"/>
        <w:rPr>
          <w:rFonts w:eastAsia="Times New Roman"/>
          <w:bCs/>
          <w:color w:val="auto"/>
          <w:kern w:val="0"/>
          <w:sz w:val="28"/>
          <w:szCs w:val="28"/>
          <w14:ligatures w14:val="none"/>
        </w:rPr>
      </w:pPr>
      <w:r w:rsidRPr="00120C56">
        <w:rPr>
          <w:rFonts w:eastAsia="Times New Roman"/>
          <w:bCs/>
          <w:color w:val="auto"/>
          <w:kern w:val="0"/>
          <w:sz w:val="28"/>
          <w:szCs w:val="28"/>
          <w14:ligatures w14:val="none"/>
        </w:rPr>
        <w:t xml:space="preserve">When the witness attempts to raise the privilege, the trial court </w:t>
      </w:r>
      <w:r w:rsidRPr="00120C56">
        <w:rPr>
          <w:rFonts w:eastAsia="Times New Roman"/>
          <w:b/>
          <w:color w:val="auto"/>
          <w:kern w:val="0"/>
          <w:sz w:val="28"/>
          <w:szCs w:val="28"/>
          <w14:ligatures w14:val="none"/>
        </w:rPr>
        <w:t>should excuse the jury</w:t>
      </w:r>
      <w:r w:rsidRPr="00120C56">
        <w:rPr>
          <w:rFonts w:eastAsia="Times New Roman"/>
          <w:bCs/>
          <w:color w:val="auto"/>
          <w:kern w:val="0"/>
          <w:sz w:val="28"/>
          <w:szCs w:val="28"/>
          <w14:ligatures w14:val="none"/>
        </w:rPr>
        <w:t xml:space="preserve"> and determine, </w:t>
      </w:r>
      <w:r w:rsidRPr="00120C56">
        <w:rPr>
          <w:rFonts w:eastAsia="Times New Roman"/>
          <w:bCs/>
          <w:color w:val="auto"/>
          <w:kern w:val="0"/>
          <w:sz w:val="28"/>
          <w:szCs w:val="28"/>
          <w:u w:val="single"/>
          <w14:ligatures w14:val="none"/>
        </w:rPr>
        <w:t>outside the presence of the jury</w:t>
      </w:r>
      <w:r w:rsidRPr="00120C56">
        <w:rPr>
          <w:rFonts w:eastAsia="Times New Roman"/>
          <w:bCs/>
          <w:color w:val="auto"/>
          <w:kern w:val="0"/>
          <w:sz w:val="28"/>
          <w:szCs w:val="28"/>
          <w14:ligatures w14:val="none"/>
        </w:rPr>
        <w:t>, whether the answer to the question could potentially incriminate the witness.</w:t>
      </w:r>
      <w:r w:rsidRPr="00120C56">
        <w:rPr>
          <w:rFonts w:eastAsia="Times New Roman"/>
          <w:b/>
          <w:bCs/>
          <w:color w:val="auto"/>
          <w:kern w:val="0"/>
          <w:sz w:val="28"/>
          <w:szCs w:val="28"/>
          <w:vertAlign w:val="superscript"/>
          <w14:ligatures w14:val="none"/>
        </w:rPr>
        <w:endnoteReference w:id="12"/>
      </w:r>
      <w:r w:rsidRPr="00120C56">
        <w:rPr>
          <w:rFonts w:eastAsia="Times New Roman"/>
          <w:bCs/>
          <w:color w:val="auto"/>
          <w:kern w:val="0"/>
          <w:sz w:val="28"/>
          <w:szCs w:val="28"/>
          <w14:ligatures w14:val="none"/>
        </w:rPr>
        <w:t xml:space="preserve">  </w:t>
      </w:r>
    </w:p>
    <w:p w14:paraId="5CFC355B" w14:textId="77777777" w:rsidR="00120C56" w:rsidRDefault="00120C56" w:rsidP="00120C56">
      <w:pPr>
        <w:spacing w:before="120" w:after="240" w:line="480" w:lineRule="auto"/>
        <w:ind w:left="720"/>
        <w:rPr>
          <w:rFonts w:eastAsia="Times New Roman"/>
          <w:bCs/>
          <w:color w:val="auto"/>
          <w:kern w:val="0"/>
          <w:sz w:val="28"/>
          <w:szCs w:val="28"/>
          <w14:ligatures w14:val="none"/>
        </w:rPr>
      </w:pPr>
      <w:r w:rsidRPr="00120C56">
        <w:rPr>
          <w:rFonts w:eastAsia="Times New Roman"/>
          <w:bCs/>
          <w:color w:val="auto"/>
          <w:kern w:val="0"/>
          <w:sz w:val="28"/>
          <w:szCs w:val="28"/>
          <w14:ligatures w14:val="none"/>
        </w:rPr>
        <w:t xml:space="preserve">However, if there is any possibility that the answer </w:t>
      </w:r>
      <w:r w:rsidRPr="00120C56">
        <w:rPr>
          <w:rFonts w:eastAsia="Times New Roman"/>
          <w:b/>
          <w:bCs/>
          <w:i/>
          <w:color w:val="auto"/>
          <w:kern w:val="0"/>
          <w:sz w:val="28"/>
          <w:szCs w:val="28"/>
          <w14:ligatures w14:val="none"/>
        </w:rPr>
        <w:t>could</w:t>
      </w:r>
      <w:r w:rsidRPr="00120C56">
        <w:rPr>
          <w:rFonts w:eastAsia="Times New Roman"/>
          <w:bCs/>
          <w:color w:val="auto"/>
          <w:kern w:val="0"/>
          <w:sz w:val="28"/>
          <w:szCs w:val="28"/>
          <w14:ligatures w14:val="none"/>
        </w:rPr>
        <w:t xml:space="preserve"> incriminate the witness, the court should allow the witness to raise the privilege.  </w:t>
      </w:r>
    </w:p>
    <w:p w14:paraId="24C1B9CD" w14:textId="331C3A7A" w:rsidR="00120C56" w:rsidRPr="00120C56" w:rsidRDefault="00120C56" w:rsidP="00120C56">
      <w:pPr>
        <w:spacing w:before="120" w:after="240" w:line="480" w:lineRule="auto"/>
        <w:rPr>
          <w:rFonts w:eastAsia="Times New Roman"/>
          <w:bCs/>
          <w:color w:val="auto"/>
          <w:kern w:val="0"/>
          <w:sz w:val="28"/>
          <w:szCs w:val="28"/>
          <w14:ligatures w14:val="none"/>
        </w:rPr>
      </w:pPr>
      <w:r w:rsidRPr="00120C56">
        <w:rPr>
          <w:rFonts w:eastAsia="Times New Roman"/>
          <w:bCs/>
          <w:color w:val="auto"/>
          <w:kern w:val="0"/>
          <w:sz w:val="28"/>
          <w:szCs w:val="28"/>
          <w14:ligatures w14:val="none"/>
        </w:rPr>
        <w:lastRenderedPageBreak/>
        <w:t>This process should not be so detailed that the witness has to incriminate himself in order to raise the privilege.  The trial court’s questioning should be limited to prevent that possibility.</w:t>
      </w:r>
      <w:r w:rsidRPr="00120C56">
        <w:rPr>
          <w:rFonts w:eastAsia="Times New Roman"/>
          <w:b/>
          <w:bCs/>
          <w:color w:val="auto"/>
          <w:kern w:val="0"/>
          <w:sz w:val="28"/>
          <w:szCs w:val="28"/>
          <w:vertAlign w:val="superscript"/>
          <w14:ligatures w14:val="none"/>
        </w:rPr>
        <w:endnoteReference w:id="13"/>
      </w:r>
    </w:p>
    <w:p w14:paraId="3701A5E5" w14:textId="5297D87F" w:rsidR="00120C56" w:rsidRPr="00120C56" w:rsidRDefault="00120C56" w:rsidP="00120C56">
      <w:pPr>
        <w:spacing w:before="120" w:after="240" w:line="480" w:lineRule="auto"/>
        <w:ind w:left="720"/>
        <w:rPr>
          <w:rFonts w:eastAsia="Times New Roman"/>
          <w:bCs/>
          <w:color w:val="auto"/>
          <w:kern w:val="0"/>
          <w:sz w:val="28"/>
          <w:szCs w:val="28"/>
          <w14:ligatures w14:val="none"/>
        </w:rPr>
      </w:pPr>
      <w:r w:rsidRPr="00120C56">
        <w:rPr>
          <w:rFonts w:eastAsia="Times New Roman"/>
          <w:bCs/>
          <w:color w:val="auto"/>
          <w:kern w:val="0"/>
          <w:sz w:val="28"/>
          <w:szCs w:val="28"/>
          <w14:ligatures w14:val="none"/>
        </w:rPr>
        <w:t>While many cases suggest that the trial court’s advisement to the jury that a witness was called to the stand, raised a privilege, and refused to testify is not harmful error, the cases repeatedly question the propriety of such a comment to the jury.</w:t>
      </w:r>
      <w:r w:rsidRPr="00120C56">
        <w:rPr>
          <w:rFonts w:eastAsia="Times New Roman"/>
          <w:b/>
          <w:bCs/>
          <w:color w:val="auto"/>
          <w:kern w:val="0"/>
          <w:sz w:val="28"/>
          <w:szCs w:val="28"/>
          <w:vertAlign w:val="superscript"/>
          <w14:ligatures w14:val="none"/>
        </w:rPr>
        <w:endnoteReference w:id="14"/>
      </w:r>
      <w:r w:rsidRPr="00120C56">
        <w:rPr>
          <w:rFonts w:eastAsia="Times New Roman"/>
          <w:bCs/>
          <w:color w:val="auto"/>
          <w:kern w:val="0"/>
          <w:sz w:val="28"/>
          <w:szCs w:val="28"/>
          <w14:ligatures w14:val="none"/>
        </w:rPr>
        <w:t xml:space="preserve">  “The better practice here would have been for the trial court not to have informed the jury of the witnesses’ refusal to testify.”</w:t>
      </w:r>
      <w:r w:rsidRPr="00120C56">
        <w:rPr>
          <w:rFonts w:eastAsia="Times New Roman"/>
          <w:b/>
          <w:bCs/>
          <w:color w:val="auto"/>
          <w:kern w:val="0"/>
          <w:sz w:val="28"/>
          <w:szCs w:val="28"/>
          <w:vertAlign w:val="superscript"/>
          <w14:ligatures w14:val="none"/>
        </w:rPr>
        <w:endnoteReference w:id="15"/>
      </w:r>
    </w:p>
    <w:p w14:paraId="52597FCE" w14:textId="77777777" w:rsidR="00120C56" w:rsidRDefault="00120C56" w:rsidP="00120C56">
      <w:pPr>
        <w:spacing w:before="120" w:after="240" w:line="480" w:lineRule="auto"/>
        <w:rPr>
          <w:rFonts w:eastAsia="Times New Roman"/>
          <w:bCs/>
          <w:color w:val="auto"/>
          <w:kern w:val="0"/>
          <w:sz w:val="28"/>
          <w:szCs w:val="28"/>
          <w14:ligatures w14:val="none"/>
        </w:rPr>
      </w:pPr>
      <w:r w:rsidRPr="00120C56">
        <w:rPr>
          <w:rFonts w:eastAsia="Times New Roman"/>
          <w:bCs/>
          <w:color w:val="auto"/>
          <w:kern w:val="0"/>
          <w:sz w:val="28"/>
          <w:szCs w:val="28"/>
          <w14:ligatures w14:val="none"/>
        </w:rPr>
        <w:t xml:space="preserve">O.C.G.A. § 24-5-507 allows a prosecutor to seek an order from a Superior Court judge granting immunity from a witness where the prosecutor believes that the testimony is “necessary to the public interest.”  </w:t>
      </w:r>
    </w:p>
    <w:p w14:paraId="751539DC" w14:textId="77777777" w:rsidR="00120C56" w:rsidRDefault="00120C56" w:rsidP="00120C56">
      <w:pPr>
        <w:spacing w:before="120" w:after="240" w:line="480" w:lineRule="auto"/>
        <w:ind w:left="720"/>
        <w:rPr>
          <w:rFonts w:eastAsia="Times New Roman"/>
          <w:bCs/>
          <w:color w:val="auto"/>
          <w:kern w:val="0"/>
          <w:sz w:val="28"/>
          <w:szCs w:val="28"/>
          <w14:ligatures w14:val="none"/>
        </w:rPr>
      </w:pPr>
      <w:r w:rsidRPr="00120C56">
        <w:rPr>
          <w:rFonts w:eastAsia="Times New Roman"/>
          <w:bCs/>
          <w:color w:val="auto"/>
          <w:kern w:val="0"/>
          <w:sz w:val="28"/>
          <w:szCs w:val="28"/>
          <w14:ligatures w14:val="none"/>
        </w:rPr>
        <w:t>The trial court must determine if the testimony is necessary to the public interest.</w:t>
      </w:r>
      <w:r w:rsidRPr="00120C56">
        <w:rPr>
          <w:rFonts w:eastAsia="Times New Roman"/>
          <w:b/>
          <w:bCs/>
          <w:color w:val="auto"/>
          <w:kern w:val="0"/>
          <w:sz w:val="28"/>
          <w:szCs w:val="28"/>
          <w:vertAlign w:val="superscript"/>
          <w14:ligatures w14:val="none"/>
        </w:rPr>
        <w:endnoteReference w:id="16"/>
      </w:r>
      <w:r w:rsidRPr="00120C56">
        <w:rPr>
          <w:rFonts w:eastAsia="Times New Roman"/>
          <w:bCs/>
          <w:color w:val="auto"/>
          <w:kern w:val="0"/>
          <w:sz w:val="28"/>
          <w:szCs w:val="28"/>
          <w14:ligatures w14:val="none"/>
        </w:rPr>
        <w:t xml:space="preserve">  </w:t>
      </w:r>
    </w:p>
    <w:p w14:paraId="6B5F4CDF" w14:textId="77777777" w:rsidR="00120C56" w:rsidRDefault="00120C56" w:rsidP="00120C56">
      <w:pPr>
        <w:spacing w:before="120" w:after="240" w:line="480" w:lineRule="auto"/>
        <w:rPr>
          <w:rFonts w:eastAsia="Times New Roman"/>
          <w:bCs/>
          <w:color w:val="auto"/>
          <w:kern w:val="0"/>
          <w:sz w:val="28"/>
          <w:szCs w:val="28"/>
          <w14:ligatures w14:val="none"/>
        </w:rPr>
      </w:pPr>
      <w:r w:rsidRPr="00120C56">
        <w:rPr>
          <w:rFonts w:eastAsia="Times New Roman"/>
          <w:bCs/>
          <w:color w:val="auto"/>
          <w:kern w:val="0"/>
          <w:sz w:val="28"/>
          <w:szCs w:val="28"/>
          <w14:ligatures w14:val="none"/>
        </w:rPr>
        <w:t xml:space="preserve">If the immunity order is signed by the Superior Court judge, the witness cannot utilize a privilege against self-incrimination found at §24-5-505.  </w:t>
      </w:r>
    </w:p>
    <w:p w14:paraId="3AF683D6" w14:textId="77777777" w:rsidR="00120C56" w:rsidRDefault="00120C56" w:rsidP="00120C56">
      <w:pPr>
        <w:spacing w:before="120" w:after="240" w:line="480" w:lineRule="auto"/>
        <w:ind w:left="720"/>
        <w:rPr>
          <w:rFonts w:eastAsia="Times New Roman"/>
          <w:bCs/>
          <w:color w:val="auto"/>
          <w:kern w:val="0"/>
          <w:sz w:val="28"/>
          <w:szCs w:val="28"/>
          <w14:ligatures w14:val="none"/>
        </w:rPr>
      </w:pPr>
      <w:r w:rsidRPr="00120C56">
        <w:rPr>
          <w:rFonts w:eastAsia="Times New Roman"/>
          <w:bCs/>
          <w:color w:val="auto"/>
          <w:kern w:val="0"/>
          <w:sz w:val="28"/>
          <w:szCs w:val="28"/>
          <w14:ligatures w14:val="none"/>
        </w:rPr>
        <w:t xml:space="preserve">The immunity granted under §24-5-507 is a “use” and “derivative use” immunity meaning that no part of the testimony given by the witness can be </w:t>
      </w:r>
      <w:r w:rsidRPr="00120C56">
        <w:rPr>
          <w:rFonts w:eastAsia="Times New Roman"/>
          <w:bCs/>
          <w:color w:val="auto"/>
          <w:kern w:val="0"/>
          <w:sz w:val="28"/>
          <w:szCs w:val="28"/>
          <w14:ligatures w14:val="none"/>
        </w:rPr>
        <w:lastRenderedPageBreak/>
        <w:t>used against the witness, including any direct or indirect use.  However, it is not “transactional immunity” which would prevent any prosecution of the witness for any acts relating to the event about which he/she testifies.</w:t>
      </w:r>
      <w:r w:rsidRPr="00120C56">
        <w:rPr>
          <w:rFonts w:eastAsia="Times New Roman"/>
          <w:b/>
          <w:bCs/>
          <w:color w:val="auto"/>
          <w:kern w:val="0"/>
          <w:sz w:val="28"/>
          <w:szCs w:val="28"/>
          <w:vertAlign w:val="superscript"/>
          <w14:ligatures w14:val="none"/>
        </w:rPr>
        <w:endnoteReference w:id="17"/>
      </w:r>
      <w:r w:rsidRPr="00120C56">
        <w:rPr>
          <w:rFonts w:eastAsia="Times New Roman"/>
          <w:bCs/>
          <w:color w:val="auto"/>
          <w:kern w:val="0"/>
          <w:sz w:val="28"/>
          <w:szCs w:val="28"/>
          <w14:ligatures w14:val="none"/>
        </w:rPr>
        <w:t xml:space="preserve">  Even as to the “use or derivative use” afforded by the statute, the witness can still be prosecuted for perjury committed while testifying or refusing to testify.  </w:t>
      </w:r>
    </w:p>
    <w:p w14:paraId="772C35BD" w14:textId="421501E5" w:rsidR="00120C56" w:rsidRPr="00120C56" w:rsidRDefault="00120C56" w:rsidP="00120C56">
      <w:pPr>
        <w:spacing w:before="120" w:after="240" w:line="480" w:lineRule="auto"/>
        <w:rPr>
          <w:rFonts w:eastAsia="Times New Roman"/>
          <w:bCs/>
          <w:color w:val="auto"/>
          <w:kern w:val="0"/>
          <w:sz w:val="28"/>
          <w:szCs w:val="28"/>
          <w14:ligatures w14:val="none"/>
        </w:rPr>
      </w:pPr>
      <w:r w:rsidRPr="00120C56">
        <w:rPr>
          <w:rFonts w:eastAsia="Times New Roman"/>
          <w:bCs/>
          <w:color w:val="auto"/>
          <w:kern w:val="0"/>
          <w:sz w:val="28"/>
          <w:szCs w:val="28"/>
          <w14:ligatures w14:val="none"/>
        </w:rPr>
        <w:t>If the witness fails or refuses to testify after the immunity is granted, the witness can be adjudged in contempt and jailed until he/she provides the testimony.</w:t>
      </w:r>
    </w:p>
    <w:p w14:paraId="69108F09" w14:textId="77777777" w:rsidR="0064750A" w:rsidRDefault="0064750A" w:rsidP="0064750A">
      <w:pPr>
        <w:spacing w:before="120" w:after="240" w:line="480" w:lineRule="auto"/>
        <w:ind w:left="720"/>
        <w:rPr>
          <w:rFonts w:eastAsia="Times New Roman"/>
          <w:bCs/>
          <w:color w:val="auto"/>
          <w:kern w:val="0"/>
          <w:sz w:val="28"/>
          <w:szCs w:val="28"/>
          <w14:ligatures w14:val="none"/>
        </w:rPr>
      </w:pPr>
      <w:r w:rsidRPr="0064750A">
        <w:rPr>
          <w:rFonts w:eastAsia="Times New Roman"/>
          <w:bCs/>
          <w:color w:val="auto"/>
          <w:kern w:val="0"/>
          <w:sz w:val="28"/>
          <w:szCs w:val="28"/>
          <w14:ligatures w14:val="none"/>
        </w:rPr>
        <w:t>The defendant has no right to request that a witness be granted immunity under §24-5-507.</w:t>
      </w:r>
      <w:r w:rsidRPr="0064750A">
        <w:rPr>
          <w:rFonts w:eastAsia="Times New Roman"/>
          <w:b/>
          <w:bCs/>
          <w:color w:val="auto"/>
          <w:kern w:val="0"/>
          <w:sz w:val="28"/>
          <w:szCs w:val="28"/>
          <w:vertAlign w:val="superscript"/>
          <w14:ligatures w14:val="none"/>
        </w:rPr>
        <w:endnoteReference w:id="18"/>
      </w:r>
      <w:r w:rsidRPr="0064750A">
        <w:rPr>
          <w:rFonts w:eastAsia="Times New Roman"/>
          <w:bCs/>
          <w:color w:val="auto"/>
          <w:kern w:val="0"/>
          <w:sz w:val="28"/>
          <w:szCs w:val="28"/>
          <w14:ligatures w14:val="none"/>
        </w:rPr>
        <w:t xml:space="preserve">  </w:t>
      </w:r>
    </w:p>
    <w:p w14:paraId="1FBF2791" w14:textId="265A1627" w:rsidR="00120C56" w:rsidRDefault="0064750A" w:rsidP="0064750A">
      <w:pPr>
        <w:spacing w:before="120" w:after="240" w:line="480" w:lineRule="auto"/>
        <w:rPr>
          <w:rFonts w:eastAsia="Times New Roman"/>
          <w:bCs/>
          <w:color w:val="auto"/>
          <w:kern w:val="0"/>
          <w:sz w:val="28"/>
          <w:szCs w:val="28"/>
          <w14:ligatures w14:val="none"/>
        </w:rPr>
      </w:pPr>
      <w:r w:rsidRPr="0064750A">
        <w:rPr>
          <w:rFonts w:eastAsia="Times New Roman"/>
          <w:bCs/>
          <w:color w:val="auto"/>
          <w:kern w:val="0"/>
          <w:sz w:val="28"/>
          <w:szCs w:val="28"/>
          <w14:ligatures w14:val="none"/>
        </w:rPr>
        <w:t xml:space="preserve">“We now squarely hold that Georgia law does not authorize a trial court to grant use immunity to a witness at the request of a </w:t>
      </w:r>
      <w:r w:rsidRPr="0064750A">
        <w:rPr>
          <w:rFonts w:eastAsia="Times New Roman"/>
          <w:bCs/>
          <w:color w:val="auto"/>
          <w:kern w:val="0"/>
          <w:sz w:val="28"/>
          <w:szCs w:val="28"/>
          <w:u w:val="single"/>
          <w14:ligatures w14:val="none"/>
        </w:rPr>
        <w:t>defendant</w:t>
      </w:r>
      <w:r w:rsidRPr="0064750A">
        <w:rPr>
          <w:rFonts w:eastAsia="Times New Roman"/>
          <w:bCs/>
          <w:color w:val="auto"/>
          <w:kern w:val="0"/>
          <w:sz w:val="28"/>
          <w:szCs w:val="28"/>
          <w14:ligatures w14:val="none"/>
        </w:rPr>
        <w:t>.”</w:t>
      </w:r>
      <w:r w:rsidRPr="0064750A">
        <w:rPr>
          <w:rFonts w:eastAsia="Times New Roman"/>
          <w:b/>
          <w:bCs/>
          <w:color w:val="auto"/>
          <w:kern w:val="0"/>
          <w:sz w:val="28"/>
          <w:szCs w:val="28"/>
          <w:vertAlign w:val="superscript"/>
          <w14:ligatures w14:val="none"/>
        </w:rPr>
        <w:endnoteReference w:id="19"/>
      </w:r>
    </w:p>
    <w:p w14:paraId="55C8D2A3" w14:textId="77777777" w:rsidR="0064750A" w:rsidRDefault="0064750A" w:rsidP="0064750A">
      <w:pPr>
        <w:spacing w:before="120" w:after="240" w:line="480" w:lineRule="auto"/>
        <w:ind w:left="720"/>
        <w:rPr>
          <w:rFonts w:eastAsia="Times New Roman"/>
          <w:bCs/>
          <w:color w:val="auto"/>
          <w:kern w:val="0"/>
          <w:sz w:val="28"/>
          <w:szCs w:val="28"/>
          <w14:ligatures w14:val="none"/>
        </w:rPr>
      </w:pPr>
      <w:r w:rsidRPr="0064750A">
        <w:rPr>
          <w:rFonts w:eastAsia="Times New Roman"/>
          <w:bCs/>
          <w:color w:val="auto"/>
          <w:kern w:val="0"/>
          <w:sz w:val="28"/>
          <w:szCs w:val="28"/>
          <w14:ligatures w14:val="none"/>
        </w:rPr>
        <w:t>There is no requirement that the trial court conduct an evidentiary hearing before granting the immunity requested by the prosecutor.</w:t>
      </w:r>
      <w:r w:rsidRPr="0064750A">
        <w:rPr>
          <w:rFonts w:eastAsia="Times New Roman"/>
          <w:b/>
          <w:bCs/>
          <w:color w:val="auto"/>
          <w:kern w:val="0"/>
          <w:sz w:val="28"/>
          <w:szCs w:val="28"/>
          <w:vertAlign w:val="superscript"/>
          <w14:ligatures w14:val="none"/>
        </w:rPr>
        <w:endnoteReference w:id="20"/>
      </w:r>
      <w:r w:rsidRPr="0064750A">
        <w:rPr>
          <w:rFonts w:eastAsia="Times New Roman"/>
          <w:bCs/>
          <w:color w:val="auto"/>
          <w:kern w:val="0"/>
          <w:sz w:val="28"/>
          <w:szCs w:val="28"/>
          <w14:ligatures w14:val="none"/>
        </w:rPr>
        <w:t xml:space="preserve">  </w:t>
      </w:r>
    </w:p>
    <w:p w14:paraId="4DA68311" w14:textId="77777777" w:rsidR="0064750A" w:rsidRDefault="0064750A" w:rsidP="0064750A">
      <w:pPr>
        <w:spacing w:before="120" w:after="240" w:line="480" w:lineRule="auto"/>
        <w:rPr>
          <w:rFonts w:eastAsia="Times New Roman"/>
          <w:bCs/>
          <w:color w:val="auto"/>
          <w:kern w:val="0"/>
          <w:sz w:val="28"/>
          <w:szCs w:val="28"/>
          <w14:ligatures w14:val="none"/>
        </w:rPr>
      </w:pPr>
      <w:r w:rsidRPr="0064750A">
        <w:rPr>
          <w:rFonts w:eastAsia="Times New Roman"/>
          <w:bCs/>
          <w:color w:val="auto"/>
          <w:kern w:val="0"/>
          <w:sz w:val="28"/>
          <w:szCs w:val="28"/>
          <w14:ligatures w14:val="none"/>
        </w:rPr>
        <w:t xml:space="preserve">The trial court is also not required to advise a </w:t>
      </w:r>
      <w:r w:rsidRPr="0064750A">
        <w:rPr>
          <w:rFonts w:eastAsia="Times New Roman"/>
          <w:b/>
          <w:bCs/>
          <w:i/>
          <w:color w:val="auto"/>
          <w:kern w:val="0"/>
          <w:sz w:val="28"/>
          <w:szCs w:val="28"/>
          <w14:ligatures w14:val="none"/>
        </w:rPr>
        <w:t>witness</w:t>
      </w:r>
      <w:r w:rsidRPr="0064750A">
        <w:rPr>
          <w:rFonts w:eastAsia="Times New Roman"/>
          <w:bCs/>
          <w:color w:val="auto"/>
          <w:kern w:val="0"/>
          <w:sz w:val="28"/>
          <w:szCs w:val="28"/>
          <w14:ligatures w14:val="none"/>
        </w:rPr>
        <w:t xml:space="preserve"> of his/her own rights against self-incrimination before that witness testifies.</w:t>
      </w:r>
      <w:r w:rsidRPr="0064750A">
        <w:rPr>
          <w:rFonts w:eastAsia="Times New Roman"/>
          <w:b/>
          <w:bCs/>
          <w:color w:val="auto"/>
          <w:kern w:val="0"/>
          <w:sz w:val="28"/>
          <w:szCs w:val="28"/>
          <w:vertAlign w:val="superscript"/>
          <w14:ligatures w14:val="none"/>
        </w:rPr>
        <w:endnoteReference w:id="21"/>
      </w:r>
      <w:r w:rsidRPr="0064750A">
        <w:rPr>
          <w:rFonts w:eastAsia="Times New Roman"/>
          <w:bCs/>
          <w:color w:val="auto"/>
          <w:kern w:val="0"/>
          <w:sz w:val="28"/>
          <w:szCs w:val="28"/>
          <w14:ligatures w14:val="none"/>
        </w:rPr>
        <w:t xml:space="preserve">  </w:t>
      </w:r>
    </w:p>
    <w:p w14:paraId="5891039F" w14:textId="14459D0C" w:rsidR="0064750A" w:rsidRDefault="0064750A" w:rsidP="0064750A">
      <w:pPr>
        <w:spacing w:before="120" w:after="240" w:line="480" w:lineRule="auto"/>
        <w:ind w:left="720"/>
        <w:rPr>
          <w:rFonts w:eastAsia="Times New Roman"/>
          <w:bCs/>
          <w:color w:val="auto"/>
          <w:kern w:val="0"/>
          <w:sz w:val="28"/>
          <w:szCs w:val="28"/>
          <w14:ligatures w14:val="none"/>
        </w:rPr>
      </w:pPr>
      <w:r w:rsidRPr="0064750A">
        <w:rPr>
          <w:rFonts w:eastAsia="Times New Roman"/>
          <w:bCs/>
          <w:color w:val="auto"/>
          <w:kern w:val="0"/>
          <w:sz w:val="28"/>
          <w:szCs w:val="28"/>
          <w14:ligatures w14:val="none"/>
        </w:rPr>
        <w:lastRenderedPageBreak/>
        <w:t>The defendant has no standing to object to the grant of immunity to a witness, and the issue of privilege and immunity belongs to the witness and not the defendant.</w:t>
      </w:r>
      <w:r w:rsidRPr="0064750A">
        <w:rPr>
          <w:rFonts w:eastAsia="Times New Roman"/>
          <w:b/>
          <w:bCs/>
          <w:color w:val="auto"/>
          <w:kern w:val="0"/>
          <w:sz w:val="28"/>
          <w:szCs w:val="28"/>
          <w:vertAlign w:val="superscript"/>
          <w14:ligatures w14:val="none"/>
        </w:rPr>
        <w:endnoteReference w:id="22"/>
      </w:r>
    </w:p>
    <w:p w14:paraId="5B182151" w14:textId="2A347941" w:rsidR="0064750A" w:rsidRPr="0064750A" w:rsidRDefault="0064750A" w:rsidP="0064750A">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1DB7AB54">
          <v:rect id="_x0000_i1072" style="width:0;height:1.5pt" o:hralign="center" o:bullet="t" o:hrstd="t" o:hr="t" fillcolor="#a0a0a0" stroked="f"/>
        </w:pict>
      </w:r>
    </w:p>
    <w:p w14:paraId="7209851A" w14:textId="542C00C0" w:rsidR="0064750A" w:rsidRPr="00C672A3" w:rsidRDefault="0064750A" w:rsidP="0064750A">
      <w:pPr>
        <w:spacing w:before="120" w:after="240" w:line="480" w:lineRule="auto"/>
        <w:rPr>
          <w:rFonts w:eastAsia="Times New Roman"/>
          <w:b/>
          <w:color w:val="auto"/>
          <w:kern w:val="0"/>
          <w:sz w:val="28"/>
          <w:szCs w:val="28"/>
          <w:u w:val="single"/>
          <w14:ligatures w14:val="none"/>
        </w:rPr>
      </w:pPr>
      <w:r>
        <w:rPr>
          <w:rFonts w:eastAsia="Times New Roman"/>
          <w:b/>
          <w:color w:val="auto"/>
          <w:kern w:val="0"/>
          <w:sz w:val="28"/>
          <w:szCs w:val="28"/>
          <w:u w:val="single"/>
          <w14:ligatures w14:val="none"/>
        </w:rPr>
        <w:t>THE ‘FORGETFUL” WITNESS</w:t>
      </w:r>
    </w:p>
    <w:p w14:paraId="24B3E85A" w14:textId="77777777" w:rsidR="00FA1C87" w:rsidRDefault="00FA1C87" w:rsidP="00FA1C87">
      <w:pPr>
        <w:spacing w:before="120" w:after="240" w:line="480" w:lineRule="auto"/>
        <w:rPr>
          <w:rFonts w:eastAsia="Times New Roman"/>
          <w:bCs/>
          <w:color w:val="auto"/>
          <w:kern w:val="0"/>
          <w:sz w:val="28"/>
          <w:szCs w:val="28"/>
          <w14:ligatures w14:val="none"/>
        </w:rPr>
      </w:pPr>
      <w:r w:rsidRPr="00FA1C87">
        <w:rPr>
          <w:rFonts w:eastAsia="Times New Roman"/>
          <w:bCs/>
          <w:color w:val="auto"/>
          <w:kern w:val="0"/>
          <w:sz w:val="28"/>
          <w:szCs w:val="28"/>
          <w14:ligatures w14:val="none"/>
        </w:rPr>
        <w:t>Where the witness is not a co-defendant and becomes “forgetful” or fails to testify in a manner consistent with a prior statement, the prior inconsistent statement can be used as substantive evidence.</w:t>
      </w:r>
      <w:r w:rsidRPr="00FA1C87">
        <w:rPr>
          <w:rFonts w:eastAsia="Times New Roman"/>
          <w:b/>
          <w:bCs/>
          <w:color w:val="auto"/>
          <w:kern w:val="0"/>
          <w:sz w:val="28"/>
          <w:szCs w:val="28"/>
          <w:vertAlign w:val="superscript"/>
          <w14:ligatures w14:val="none"/>
        </w:rPr>
        <w:endnoteReference w:id="23"/>
      </w:r>
      <w:r w:rsidRPr="00FA1C87">
        <w:rPr>
          <w:rFonts w:eastAsia="Times New Roman"/>
          <w:bCs/>
          <w:color w:val="auto"/>
          <w:kern w:val="0"/>
          <w:sz w:val="28"/>
          <w:szCs w:val="28"/>
          <w14:ligatures w14:val="none"/>
        </w:rPr>
        <w:t xml:space="preserve">  </w:t>
      </w:r>
    </w:p>
    <w:p w14:paraId="157EBC49" w14:textId="77777777" w:rsidR="00FA1C87" w:rsidRDefault="00FA1C87" w:rsidP="00FA1C87">
      <w:pPr>
        <w:spacing w:before="120" w:after="240" w:line="480" w:lineRule="auto"/>
        <w:ind w:left="720"/>
        <w:rPr>
          <w:rFonts w:eastAsia="Times New Roman"/>
          <w:bCs/>
          <w:color w:val="auto"/>
          <w:kern w:val="0"/>
          <w:sz w:val="28"/>
          <w:szCs w:val="28"/>
          <w14:ligatures w14:val="none"/>
        </w:rPr>
      </w:pPr>
      <w:r w:rsidRPr="00FA1C87">
        <w:rPr>
          <w:rFonts w:eastAsia="Times New Roman"/>
          <w:bCs/>
          <w:color w:val="auto"/>
          <w:kern w:val="0"/>
          <w:sz w:val="28"/>
          <w:szCs w:val="28"/>
          <w14:ligatures w14:val="none"/>
        </w:rPr>
        <w:t>A prior statement of the witness is admissible as a prior inconsistent statement even when the witness denies that he/she made the prior statement.</w:t>
      </w:r>
      <w:r w:rsidRPr="00FA1C87">
        <w:rPr>
          <w:rFonts w:eastAsia="Times New Roman"/>
          <w:b/>
          <w:bCs/>
          <w:color w:val="auto"/>
          <w:kern w:val="0"/>
          <w:sz w:val="28"/>
          <w:szCs w:val="28"/>
          <w:vertAlign w:val="superscript"/>
          <w14:ligatures w14:val="none"/>
        </w:rPr>
        <w:endnoteReference w:id="24"/>
      </w:r>
      <w:r w:rsidRPr="00FA1C87">
        <w:rPr>
          <w:rFonts w:eastAsia="Times New Roman"/>
          <w:bCs/>
          <w:color w:val="auto"/>
          <w:kern w:val="0"/>
          <w:sz w:val="28"/>
          <w:szCs w:val="28"/>
          <w14:ligatures w14:val="none"/>
        </w:rPr>
        <w:t xml:space="preserve">  </w:t>
      </w:r>
    </w:p>
    <w:p w14:paraId="2928712F" w14:textId="77777777" w:rsidR="00FA1C87" w:rsidRDefault="00FA1C87" w:rsidP="00FA1C87">
      <w:pPr>
        <w:spacing w:before="120" w:after="240" w:line="480" w:lineRule="auto"/>
        <w:ind w:left="1440"/>
        <w:rPr>
          <w:rFonts w:eastAsia="Times New Roman"/>
          <w:bCs/>
          <w:color w:val="auto"/>
          <w:kern w:val="0"/>
          <w:sz w:val="28"/>
          <w:szCs w:val="28"/>
          <w14:ligatures w14:val="none"/>
        </w:rPr>
      </w:pPr>
      <w:r w:rsidRPr="00FA1C87">
        <w:rPr>
          <w:rFonts w:eastAsia="Times New Roman"/>
          <w:bCs/>
          <w:color w:val="auto"/>
          <w:kern w:val="0"/>
          <w:sz w:val="28"/>
          <w:szCs w:val="28"/>
          <w14:ligatures w14:val="none"/>
        </w:rPr>
        <w:t>“[T]he prior inconsistent statement of a witness suffering from memory loss is admissible where Sixth Amendment concerns are met by the defendant's having the opportunity to cross-examine a forgetful witness about his bias, lack of care, and attentiveness, and even the fact he has a bad memory.”</w:t>
      </w:r>
      <w:r w:rsidRPr="00FA1C87">
        <w:rPr>
          <w:rFonts w:eastAsia="Times New Roman"/>
          <w:b/>
          <w:bCs/>
          <w:color w:val="auto"/>
          <w:kern w:val="0"/>
          <w:sz w:val="28"/>
          <w:szCs w:val="28"/>
          <w:vertAlign w:val="superscript"/>
          <w14:ligatures w14:val="none"/>
        </w:rPr>
        <w:endnoteReference w:id="25"/>
      </w:r>
      <w:r w:rsidRPr="00FA1C87">
        <w:rPr>
          <w:rFonts w:eastAsia="Times New Roman"/>
          <w:bCs/>
          <w:color w:val="auto"/>
          <w:kern w:val="0"/>
          <w:sz w:val="28"/>
          <w:szCs w:val="28"/>
          <w14:ligatures w14:val="none"/>
        </w:rPr>
        <w:t xml:space="preserve">  </w:t>
      </w:r>
    </w:p>
    <w:p w14:paraId="5EEAD3A8" w14:textId="77777777" w:rsidR="00FA1C87" w:rsidRDefault="00FA1C87" w:rsidP="00FA1C87">
      <w:pPr>
        <w:spacing w:before="120" w:after="240" w:line="480" w:lineRule="auto"/>
        <w:rPr>
          <w:rFonts w:eastAsia="Times New Roman"/>
          <w:bCs/>
          <w:color w:val="auto"/>
          <w:kern w:val="0"/>
          <w:sz w:val="28"/>
          <w:szCs w:val="28"/>
          <w14:ligatures w14:val="none"/>
        </w:rPr>
      </w:pPr>
      <w:r w:rsidRPr="00FA1C87">
        <w:rPr>
          <w:rFonts w:eastAsia="Times New Roman"/>
          <w:bCs/>
          <w:color w:val="auto"/>
          <w:kern w:val="0"/>
          <w:sz w:val="28"/>
          <w:szCs w:val="28"/>
          <w14:ligatures w14:val="none"/>
        </w:rPr>
        <w:lastRenderedPageBreak/>
        <w:t>A prior statement qualifies as a prior inconsistent statement and is admissible even when the witness admits making the prior statement but claims it was made under duress or was forced by law enforcement officers.</w:t>
      </w:r>
      <w:r w:rsidRPr="00FA1C87">
        <w:rPr>
          <w:rFonts w:eastAsia="Times New Roman"/>
          <w:b/>
          <w:bCs/>
          <w:color w:val="auto"/>
          <w:kern w:val="0"/>
          <w:sz w:val="28"/>
          <w:szCs w:val="28"/>
          <w:vertAlign w:val="superscript"/>
          <w14:ligatures w14:val="none"/>
        </w:rPr>
        <w:endnoteReference w:id="26"/>
      </w:r>
      <w:r w:rsidRPr="00FA1C87">
        <w:rPr>
          <w:rFonts w:eastAsia="Times New Roman"/>
          <w:bCs/>
          <w:color w:val="auto"/>
          <w:kern w:val="0"/>
          <w:sz w:val="28"/>
          <w:szCs w:val="28"/>
          <w14:ligatures w14:val="none"/>
        </w:rPr>
        <w:t xml:space="preserve">  </w:t>
      </w:r>
    </w:p>
    <w:p w14:paraId="38FEDD8E" w14:textId="0389F78F" w:rsidR="00FA1C87" w:rsidRDefault="00FA1C87" w:rsidP="00FA1C87">
      <w:pPr>
        <w:spacing w:before="120" w:after="240" w:line="480" w:lineRule="auto"/>
        <w:ind w:left="720"/>
        <w:rPr>
          <w:rFonts w:eastAsia="Times New Roman"/>
          <w:bCs/>
          <w:color w:val="auto"/>
          <w:kern w:val="0"/>
          <w:sz w:val="28"/>
          <w:szCs w:val="28"/>
          <w14:ligatures w14:val="none"/>
        </w:rPr>
      </w:pPr>
      <w:r w:rsidRPr="00FA1C87">
        <w:rPr>
          <w:rFonts w:eastAsia="Times New Roman"/>
          <w:bCs/>
          <w:color w:val="auto"/>
          <w:kern w:val="0"/>
          <w:sz w:val="28"/>
          <w:szCs w:val="28"/>
          <w14:ligatures w14:val="none"/>
        </w:rPr>
        <w:t>The fact that a witness admits making the prior statement does not render that prior statement inadmissible as a prior inconsistent statement.  So where a witness admits making the prior statement to law enforcement officials but claims at trial that the prior statement was a lie, the prior statement is admissible.</w:t>
      </w:r>
      <w:r w:rsidRPr="00FA1C87">
        <w:rPr>
          <w:rFonts w:eastAsia="Times New Roman"/>
          <w:b/>
          <w:bCs/>
          <w:color w:val="auto"/>
          <w:kern w:val="0"/>
          <w:sz w:val="28"/>
          <w:szCs w:val="28"/>
          <w:vertAlign w:val="superscript"/>
          <w14:ligatures w14:val="none"/>
        </w:rPr>
        <w:endnoteReference w:id="27"/>
      </w:r>
      <w:r w:rsidRPr="00FA1C87">
        <w:rPr>
          <w:rFonts w:eastAsia="Times New Roman"/>
          <w:bCs/>
          <w:color w:val="auto"/>
          <w:kern w:val="0"/>
          <w:sz w:val="28"/>
          <w:szCs w:val="28"/>
          <w14:ligatures w14:val="none"/>
        </w:rPr>
        <w:t xml:space="preserve">  </w:t>
      </w:r>
    </w:p>
    <w:p w14:paraId="711CB23F" w14:textId="52499694" w:rsidR="00FA1C87" w:rsidRPr="00FA1C87" w:rsidRDefault="00FA1C87" w:rsidP="00FA1C87">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1F065DCF">
          <v:rect id="_x0000_i1073" style="width:0;height:1.5pt" o:hralign="center" o:bullet="t" o:hrstd="t" o:hr="t" fillcolor="#a0a0a0" stroked="f"/>
        </w:pict>
      </w:r>
    </w:p>
    <w:p w14:paraId="06187E34" w14:textId="4EF16B80" w:rsidR="00FA1C87" w:rsidRPr="00FA1C87" w:rsidRDefault="00FA1C87" w:rsidP="00FA1C87">
      <w:pPr>
        <w:spacing w:before="120" w:after="240" w:line="480" w:lineRule="auto"/>
        <w:rPr>
          <w:rFonts w:eastAsia="Times New Roman"/>
          <w:b/>
          <w:color w:val="auto"/>
          <w:kern w:val="0"/>
          <w:sz w:val="28"/>
          <w:szCs w:val="28"/>
          <w:u w:val="single"/>
          <w14:ligatures w14:val="none"/>
        </w:rPr>
      </w:pPr>
      <w:r>
        <w:rPr>
          <w:rFonts w:eastAsia="Times New Roman"/>
          <w:b/>
          <w:color w:val="auto"/>
          <w:kern w:val="0"/>
          <w:sz w:val="28"/>
          <w:szCs w:val="28"/>
          <w:u w:val="single"/>
          <w14:ligatures w14:val="none"/>
        </w:rPr>
        <w:t>DIFFERENCE BETWEEN “FORGETFUL” AND “REFUSAL”</w:t>
      </w:r>
    </w:p>
    <w:p w14:paraId="436A66ED" w14:textId="77777777" w:rsidR="00FA1C87" w:rsidRDefault="00FA1C87" w:rsidP="00FA1C87">
      <w:pPr>
        <w:spacing w:before="120" w:after="240" w:line="480" w:lineRule="auto"/>
        <w:rPr>
          <w:rFonts w:eastAsia="Times New Roman"/>
          <w:bCs/>
          <w:color w:val="auto"/>
          <w:kern w:val="0"/>
          <w:sz w:val="28"/>
          <w:szCs w:val="28"/>
          <w14:ligatures w14:val="none"/>
        </w:rPr>
      </w:pPr>
      <w:r w:rsidRPr="00FA1C87">
        <w:rPr>
          <w:rFonts w:eastAsia="Times New Roman"/>
          <w:bCs/>
          <w:color w:val="auto"/>
          <w:kern w:val="0"/>
          <w:sz w:val="28"/>
          <w:szCs w:val="28"/>
          <w14:ligatures w14:val="none"/>
        </w:rPr>
        <w:t xml:space="preserve">There is a different result where the witness refuses to testify at trial.  </w:t>
      </w:r>
    </w:p>
    <w:p w14:paraId="4BC9B604" w14:textId="77777777" w:rsidR="00FA1C87" w:rsidRDefault="00FA1C87" w:rsidP="00FA1C87">
      <w:pPr>
        <w:spacing w:before="120" w:after="240" w:line="480" w:lineRule="auto"/>
        <w:rPr>
          <w:rFonts w:eastAsia="Times New Roman"/>
          <w:bCs/>
          <w:color w:val="auto"/>
          <w:kern w:val="0"/>
          <w:sz w:val="28"/>
          <w:szCs w:val="28"/>
          <w14:ligatures w14:val="none"/>
        </w:rPr>
      </w:pPr>
      <w:r w:rsidRPr="00FA1C87">
        <w:rPr>
          <w:rFonts w:eastAsia="Times New Roman"/>
          <w:bCs/>
          <w:color w:val="auto"/>
          <w:kern w:val="0"/>
          <w:sz w:val="28"/>
          <w:szCs w:val="28"/>
          <w14:ligatures w14:val="none"/>
        </w:rPr>
        <w:t xml:space="preserve">It is improper to allow a prior statement to be admitted as a prior inconsistent statement where the witness refuses to testify at trial. </w:t>
      </w:r>
    </w:p>
    <w:p w14:paraId="2471AE51" w14:textId="77777777" w:rsidR="00FA1C87" w:rsidRDefault="00FA1C87" w:rsidP="00FA1C87">
      <w:pPr>
        <w:spacing w:before="120" w:after="240" w:line="480" w:lineRule="auto"/>
        <w:ind w:left="720"/>
        <w:rPr>
          <w:rFonts w:eastAsia="Times New Roman"/>
          <w:bCs/>
          <w:color w:val="auto"/>
          <w:kern w:val="0"/>
          <w:sz w:val="28"/>
          <w:szCs w:val="28"/>
          <w14:ligatures w14:val="none"/>
        </w:rPr>
      </w:pPr>
      <w:r w:rsidRPr="00FA1C87">
        <w:rPr>
          <w:rFonts w:eastAsia="Times New Roman"/>
          <w:bCs/>
          <w:color w:val="auto"/>
          <w:kern w:val="0"/>
          <w:sz w:val="28"/>
          <w:szCs w:val="28"/>
          <w14:ligatures w14:val="none"/>
        </w:rPr>
        <w:t>This is because the prior statement is not inconsistent, and there are also Confrontation Clause issues which cannot be satisfied if the witness is not subject to cross-examination at trial.</w:t>
      </w:r>
      <w:r w:rsidRPr="00FA1C87">
        <w:rPr>
          <w:rFonts w:eastAsia="Times New Roman"/>
          <w:b/>
          <w:bCs/>
          <w:color w:val="auto"/>
          <w:kern w:val="0"/>
          <w:sz w:val="28"/>
          <w:szCs w:val="28"/>
          <w:vertAlign w:val="superscript"/>
          <w14:ligatures w14:val="none"/>
        </w:rPr>
        <w:endnoteReference w:id="28"/>
      </w:r>
      <w:r w:rsidRPr="00FA1C87">
        <w:rPr>
          <w:rFonts w:eastAsia="Times New Roman"/>
          <w:bCs/>
          <w:color w:val="auto"/>
          <w:kern w:val="0"/>
          <w:sz w:val="28"/>
          <w:szCs w:val="28"/>
          <w14:ligatures w14:val="none"/>
        </w:rPr>
        <w:t xml:space="preserve"> </w:t>
      </w:r>
    </w:p>
    <w:p w14:paraId="24866AF4" w14:textId="14588EF9" w:rsidR="00FA1C87" w:rsidRPr="00FA1C87" w:rsidRDefault="00FA1C87" w:rsidP="00FA1C87">
      <w:pPr>
        <w:spacing w:before="120" w:after="240" w:line="480" w:lineRule="auto"/>
        <w:rPr>
          <w:rFonts w:eastAsia="Times New Roman"/>
          <w:bCs/>
          <w:color w:val="auto"/>
          <w:kern w:val="0"/>
          <w:sz w:val="28"/>
          <w:szCs w:val="28"/>
          <w14:ligatures w14:val="none"/>
        </w:rPr>
      </w:pPr>
      <w:r w:rsidRPr="00FA1C87">
        <w:rPr>
          <w:rFonts w:eastAsia="Times New Roman"/>
          <w:bCs/>
          <w:color w:val="auto"/>
          <w:kern w:val="0"/>
          <w:sz w:val="28"/>
          <w:szCs w:val="28"/>
          <w14:ligatures w14:val="none"/>
        </w:rPr>
        <w:lastRenderedPageBreak/>
        <w:t xml:space="preserve"> If a witness answers some questions and then refuses to answer any additional questions, the proper remedy is to strike pertinent portions of the witness’ testimony.</w:t>
      </w:r>
      <w:r w:rsidRPr="00FA1C87">
        <w:rPr>
          <w:rFonts w:eastAsia="Times New Roman"/>
          <w:b/>
          <w:bCs/>
          <w:color w:val="auto"/>
          <w:kern w:val="0"/>
          <w:sz w:val="28"/>
          <w:szCs w:val="28"/>
          <w:vertAlign w:val="superscript"/>
          <w14:ligatures w14:val="none"/>
        </w:rPr>
        <w:endnoteReference w:id="29"/>
      </w:r>
    </w:p>
    <w:p w14:paraId="53C1C85D" w14:textId="77777777" w:rsidR="00FA1C87" w:rsidRDefault="00FA1C87" w:rsidP="00FA1C87">
      <w:pPr>
        <w:spacing w:before="120" w:after="240" w:line="480" w:lineRule="auto"/>
        <w:ind w:left="720"/>
        <w:rPr>
          <w:rFonts w:eastAsia="Times New Roman"/>
          <w:bCs/>
          <w:color w:val="auto"/>
          <w:kern w:val="0"/>
          <w:sz w:val="28"/>
          <w:szCs w:val="28"/>
          <w14:ligatures w14:val="none"/>
        </w:rPr>
      </w:pPr>
      <w:r w:rsidRPr="00FA1C87">
        <w:rPr>
          <w:rFonts w:eastAsia="Times New Roman"/>
          <w:bCs/>
          <w:color w:val="auto"/>
          <w:kern w:val="0"/>
          <w:sz w:val="28"/>
          <w:szCs w:val="28"/>
          <w14:ligatures w14:val="none"/>
        </w:rPr>
        <w:t>Although this issue arises with less frequency, the new evidence code specifically authorizes a party to impeach their own witness, even the in absence of a claim of surprise.</w:t>
      </w:r>
      <w:r w:rsidRPr="00FA1C87">
        <w:rPr>
          <w:rFonts w:eastAsia="Times New Roman"/>
          <w:b/>
          <w:bCs/>
          <w:color w:val="auto"/>
          <w:kern w:val="0"/>
          <w:sz w:val="28"/>
          <w:szCs w:val="28"/>
          <w:vertAlign w:val="superscript"/>
          <w14:ligatures w14:val="none"/>
        </w:rPr>
        <w:endnoteReference w:id="30"/>
      </w:r>
    </w:p>
    <w:p w14:paraId="00CD5ECA" w14:textId="2EE2CFAA" w:rsidR="00FA1C87" w:rsidRDefault="00FA1C87" w:rsidP="00FA1C87">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When a witness with no self-incrimination concerns simply refuses to testify at trial, the judge has the right to hold that person in contempt of court until that witness testifies (within reason).</w:t>
      </w:r>
    </w:p>
    <w:p w14:paraId="132DC017" w14:textId="33B4B054" w:rsidR="00255FBC" w:rsidRDefault="00255FBC" w:rsidP="00255FBC">
      <w:pPr>
        <w:spacing w:before="120" w:after="240" w:line="480" w:lineRule="auto"/>
        <w:ind w:left="720"/>
        <w:rPr>
          <w:rFonts w:eastAsia="Times New Roman"/>
          <w:bCs/>
          <w:color w:val="auto"/>
          <w:kern w:val="0"/>
          <w:sz w:val="28"/>
          <w:szCs w:val="28"/>
          <w14:ligatures w14:val="none"/>
        </w:rPr>
      </w:pPr>
      <w:r>
        <w:rPr>
          <w:rFonts w:eastAsia="Times New Roman"/>
          <w:bCs/>
          <w:color w:val="auto"/>
          <w:kern w:val="0"/>
          <w:sz w:val="28"/>
          <w:szCs w:val="28"/>
          <w14:ligatures w14:val="none"/>
        </w:rPr>
        <w:t>If we are being candid, some “witnesses” are actually defendants serving a sentence in some other case – the threat of contempt is not very compelling to that witness</w:t>
      </w:r>
    </w:p>
    <w:p w14:paraId="09560E45" w14:textId="46DDF56E" w:rsidR="00255FBC" w:rsidRDefault="00255FBC" w:rsidP="00255FBC">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As a practical matter, are you going to hold the jury and the entire trial for days, weeks, months?</w:t>
      </w:r>
    </w:p>
    <w:p w14:paraId="34973E4A" w14:textId="477DB734" w:rsidR="00E942AC" w:rsidRPr="00FA1C87" w:rsidRDefault="00E942AC" w:rsidP="00255FBC">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080F2150">
          <v:rect id="_x0000_i1074" style="width:0;height:1.5pt" o:hralign="center" o:bullet="t" o:hrstd="t" o:hr="t" fillcolor="#a0a0a0" stroked="f"/>
        </w:pict>
      </w:r>
    </w:p>
    <w:p w14:paraId="0C5977AF" w14:textId="01697EDC" w:rsidR="00C672A3" w:rsidRDefault="00E942AC" w:rsidP="00E942AC">
      <w:pPr>
        <w:keepNext/>
        <w:spacing w:before="120" w:after="240" w:line="480" w:lineRule="auto"/>
        <w:rPr>
          <w:rFonts w:eastAsia="Times New Roman"/>
          <w:bCs/>
          <w:color w:val="auto"/>
          <w:kern w:val="0"/>
          <w:sz w:val="28"/>
          <w:szCs w:val="28"/>
          <w14:ligatures w14:val="none"/>
        </w:rPr>
      </w:pPr>
      <w:r>
        <w:rPr>
          <w:rFonts w:eastAsia="Times New Roman"/>
          <w:b/>
          <w:color w:val="auto"/>
          <w:kern w:val="0"/>
          <w:sz w:val="28"/>
          <w:szCs w:val="28"/>
          <w:u w:val="single"/>
          <w14:ligatures w14:val="none"/>
        </w:rPr>
        <w:lastRenderedPageBreak/>
        <w:t>UNANTICIPATED DEVELOPMENT</w:t>
      </w:r>
    </w:p>
    <w:p w14:paraId="225C3DFF" w14:textId="6274A767" w:rsidR="00E942AC" w:rsidRDefault="00E942AC" w:rsidP="00C672A3">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So we started this episode with the judge having some insight into what might be coming – what if the judge has no warning and the witness takes the stand and refuses to testify without warning?</w:t>
      </w:r>
    </w:p>
    <w:p w14:paraId="7ADAAE32" w14:textId="256497ED" w:rsidR="00E942AC" w:rsidRDefault="00E942AC" w:rsidP="00C672A3">
      <w:pPr>
        <w:spacing w:before="120" w:after="240" w:line="480" w:lineRule="auto"/>
        <w:rPr>
          <w:rFonts w:eastAsia="Times New Roman"/>
          <w:b/>
          <w:color w:val="auto"/>
          <w:kern w:val="0"/>
          <w:sz w:val="28"/>
          <w:szCs w:val="28"/>
          <w14:ligatures w14:val="none"/>
        </w:rPr>
      </w:pPr>
      <w:r>
        <w:rPr>
          <w:rFonts w:eastAsia="Times New Roman"/>
          <w:bCs/>
          <w:color w:val="auto"/>
          <w:kern w:val="0"/>
          <w:sz w:val="28"/>
          <w:szCs w:val="28"/>
          <w14:ligatures w14:val="none"/>
        </w:rPr>
        <w:tab/>
      </w:r>
      <w:r w:rsidRPr="00E942AC">
        <w:rPr>
          <w:rFonts w:eastAsia="Times New Roman"/>
          <w:b/>
          <w:color w:val="auto"/>
          <w:kern w:val="0"/>
          <w:sz w:val="28"/>
          <w:szCs w:val="28"/>
          <w14:ligatures w14:val="none"/>
        </w:rPr>
        <w:t>SEND THE JURY OUT….</w:t>
      </w:r>
    </w:p>
    <w:p w14:paraId="6DADB2E8" w14:textId="61144065" w:rsidR="00E942AC" w:rsidRDefault="00E942AC" w:rsidP="00C672A3">
      <w:pPr>
        <w:spacing w:before="120" w:after="240" w:line="480" w:lineRule="auto"/>
        <w:rPr>
          <w:rFonts w:eastAsia="Times New Roman"/>
          <w:bCs/>
          <w:color w:val="auto"/>
          <w:kern w:val="0"/>
          <w:sz w:val="28"/>
          <w:szCs w:val="28"/>
          <w14:ligatures w14:val="none"/>
        </w:rPr>
      </w:pPr>
      <w:r>
        <w:rPr>
          <w:rFonts w:eastAsia="Times New Roman"/>
          <w:b/>
          <w:color w:val="auto"/>
          <w:kern w:val="0"/>
          <w:sz w:val="28"/>
          <w:szCs w:val="28"/>
          <w14:ligatures w14:val="none"/>
        </w:rPr>
        <w:t>Once the jury is out,</w:t>
      </w:r>
      <w:r>
        <w:rPr>
          <w:rFonts w:eastAsia="Times New Roman"/>
          <w:bCs/>
          <w:color w:val="auto"/>
          <w:kern w:val="0"/>
          <w:sz w:val="28"/>
          <w:szCs w:val="28"/>
          <w14:ligatures w14:val="none"/>
        </w:rPr>
        <w:t xml:space="preserve"> the judge needs to make inquiries of the witness whether he is refusing to testify or is attempting to raise a privilege</w:t>
      </w:r>
    </w:p>
    <w:p w14:paraId="0C99E860" w14:textId="52F807F9" w:rsidR="00E942AC" w:rsidRDefault="00E942AC" w:rsidP="00810304">
      <w:pPr>
        <w:spacing w:before="120" w:after="240" w:line="480" w:lineRule="auto"/>
        <w:ind w:left="720"/>
        <w:rPr>
          <w:rFonts w:eastAsia="Times New Roman"/>
          <w:bCs/>
          <w:color w:val="auto"/>
          <w:kern w:val="0"/>
          <w:sz w:val="28"/>
          <w:szCs w:val="28"/>
          <w14:ligatures w14:val="none"/>
        </w:rPr>
      </w:pPr>
      <w:r>
        <w:rPr>
          <w:rFonts w:eastAsia="Times New Roman"/>
          <w:bCs/>
          <w:color w:val="auto"/>
          <w:kern w:val="0"/>
          <w:sz w:val="28"/>
          <w:szCs w:val="28"/>
          <w14:ligatures w14:val="none"/>
        </w:rPr>
        <w:t>If it is a refusal without justification, consider contempt (listen to our episode on contempt - direct vs. indirect, right to be heard before punishment is imposed, etc.)</w:t>
      </w:r>
    </w:p>
    <w:p w14:paraId="6D41A192" w14:textId="3C9BC8EB" w:rsidR="00810304" w:rsidRDefault="00810304" w:rsidP="00810304">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If it is determined that the witness is attempting to raise a privilege, see prior sections of this outline</w:t>
      </w:r>
    </w:p>
    <w:p w14:paraId="2862FEF7" w14:textId="78DC1721" w:rsidR="00810304" w:rsidRDefault="00810304" w:rsidP="00810304">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ab/>
        <w:t xml:space="preserve">Allow the parties to provide their respective thoughts on a potential solution </w:t>
      </w:r>
    </w:p>
    <w:p w14:paraId="23349AA9" w14:textId="4A8A7A4D" w:rsidR="00810304" w:rsidRDefault="00810304" w:rsidP="00810304">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Remember that the defendant has a Constitutional right to confront witnesses and if the witness begins to testify but then stops, the cases say that there is a </w:t>
      </w:r>
      <w:r>
        <w:rPr>
          <w:rFonts w:eastAsia="Times New Roman"/>
          <w:bCs/>
          <w:i/>
          <w:iCs/>
          <w:color w:val="auto"/>
          <w:kern w:val="0"/>
          <w:sz w:val="28"/>
          <w:szCs w:val="28"/>
          <w14:ligatures w14:val="none"/>
        </w:rPr>
        <w:t>Crawford</w:t>
      </w:r>
      <w:r>
        <w:rPr>
          <w:rFonts w:eastAsia="Times New Roman"/>
          <w:bCs/>
          <w:color w:val="auto"/>
          <w:kern w:val="0"/>
          <w:sz w:val="28"/>
          <w:szCs w:val="28"/>
          <w14:ligatures w14:val="none"/>
        </w:rPr>
        <w:t xml:space="preserve"> problem that the judge needs to address</w:t>
      </w:r>
    </w:p>
    <w:p w14:paraId="599728F8" w14:textId="044B5985" w:rsidR="00810304" w:rsidRDefault="00810304" w:rsidP="00482439">
      <w:pPr>
        <w:spacing w:before="120" w:after="240" w:line="480" w:lineRule="auto"/>
        <w:ind w:lef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 xml:space="preserve">We know that you would like for us to give you a step-by-step “playbook” for what to do if this happens – but we can’t.  There are too many variables </w:t>
      </w:r>
      <w:r w:rsidR="00482439">
        <w:rPr>
          <w:rFonts w:eastAsia="Times New Roman"/>
          <w:bCs/>
          <w:color w:val="auto"/>
          <w:kern w:val="0"/>
          <w:sz w:val="28"/>
          <w:szCs w:val="28"/>
          <w14:ligatures w14:val="none"/>
        </w:rPr>
        <w:t>that could impact the “correct” decision</w:t>
      </w:r>
    </w:p>
    <w:p w14:paraId="370B616D" w14:textId="783AFB35" w:rsidR="00482439" w:rsidRDefault="001F3B36" w:rsidP="00482439">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Couple of principles to remember:</w:t>
      </w:r>
    </w:p>
    <w:p w14:paraId="44B65352" w14:textId="10ED859A" w:rsidR="001F3B36" w:rsidRDefault="001F3B36" w:rsidP="001F3B36">
      <w:pPr>
        <w:pStyle w:val="ListParagraph"/>
        <w:numPr>
          <w:ilvl w:val="0"/>
          <w:numId w:val="19"/>
        </w:num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The defendant must have the ability to cross-examine – witness’ refusal to testify effectively thwarts the defendant’s right to cross-examine.</w:t>
      </w:r>
      <w:r>
        <w:rPr>
          <w:rStyle w:val="EndnoteReference"/>
          <w:rFonts w:eastAsia="Times New Roman"/>
          <w:bCs/>
          <w:kern w:val="0"/>
          <w:szCs w:val="28"/>
          <w14:ligatures w14:val="none"/>
        </w:rPr>
        <w:endnoteReference w:id="31"/>
      </w:r>
    </w:p>
    <w:p w14:paraId="3E5D1D22" w14:textId="29A381F8" w:rsidR="00EE0BBC" w:rsidRDefault="00EE0BBC" w:rsidP="001F3B36">
      <w:pPr>
        <w:pStyle w:val="ListParagraph"/>
        <w:numPr>
          <w:ilvl w:val="0"/>
          <w:numId w:val="19"/>
        </w:num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It is absolutely improper to allow the prosecutor to ask a series of leading questions to a witness who refuses to testify – even if those questions track the witness’ pretrial statement.</w:t>
      </w:r>
      <w:r>
        <w:rPr>
          <w:rStyle w:val="EndnoteReference"/>
          <w:rFonts w:eastAsia="Times New Roman"/>
          <w:bCs/>
          <w:kern w:val="0"/>
          <w:szCs w:val="28"/>
          <w14:ligatures w14:val="none"/>
        </w:rPr>
        <w:endnoteReference w:id="32"/>
      </w:r>
    </w:p>
    <w:p w14:paraId="1D409ABB" w14:textId="61AA1ECB" w:rsidR="00EE0BBC" w:rsidRDefault="00EE0BBC" w:rsidP="00EE0BBC">
      <w:pPr>
        <w:pStyle w:val="ListParagraph"/>
        <w:numPr>
          <w:ilvl w:val="1"/>
          <w:numId w:val="19"/>
        </w:num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The prior statement made outside of court is neither consistent nor inconsistent with the witness’ testimony if the witness refuses to testify.</w:t>
      </w:r>
    </w:p>
    <w:p w14:paraId="107A5807" w14:textId="738B8F91" w:rsidR="00EE0BBC" w:rsidRPr="001F3B36" w:rsidRDefault="00EE0BBC" w:rsidP="00EE0BBC">
      <w:pPr>
        <w:pStyle w:val="ListParagraph"/>
        <w:numPr>
          <w:ilvl w:val="0"/>
          <w:numId w:val="19"/>
        </w:num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If a witness seeks to raise his/her right against self-incrimination, the grant of immunity discussed previously </w:t>
      </w:r>
      <w:r w:rsidR="00A977D3">
        <w:rPr>
          <w:rFonts w:eastAsia="Times New Roman"/>
          <w:bCs/>
          <w:color w:val="auto"/>
          <w:kern w:val="0"/>
          <w:sz w:val="28"/>
          <w:szCs w:val="28"/>
          <w14:ligatures w14:val="none"/>
        </w:rPr>
        <w:t>eliminates the authority of the witness to raise the privilege.</w:t>
      </w:r>
    </w:p>
    <w:p w14:paraId="67FEC1D9" w14:textId="77777777" w:rsidR="00C672A3" w:rsidRPr="000B359D" w:rsidRDefault="00C672A3" w:rsidP="000B359D">
      <w:pPr>
        <w:spacing w:before="120" w:after="240" w:line="480" w:lineRule="auto"/>
        <w:rPr>
          <w:rFonts w:eastAsia="Times New Roman"/>
          <w:bCs/>
          <w:color w:val="auto"/>
          <w:kern w:val="0"/>
          <w:sz w:val="28"/>
          <w:szCs w:val="28"/>
          <w14:ligatures w14:val="none"/>
        </w:rPr>
      </w:pPr>
    </w:p>
    <w:p w14:paraId="7B1E49C4" w14:textId="77777777" w:rsidR="000B359D" w:rsidRPr="00EB19D2" w:rsidRDefault="000B359D" w:rsidP="000B359D">
      <w:pPr>
        <w:spacing w:before="120" w:after="240" w:line="480" w:lineRule="auto"/>
        <w:rPr>
          <w:rFonts w:eastAsia="Times New Roman"/>
          <w:bCs/>
          <w:color w:val="auto"/>
          <w:kern w:val="0"/>
          <w:sz w:val="28"/>
          <w:szCs w:val="28"/>
          <w14:ligatures w14:val="none"/>
        </w:rPr>
      </w:pPr>
    </w:p>
    <w:p w14:paraId="65E18396" w14:textId="77777777" w:rsidR="002E6A62" w:rsidRDefault="002E6A62" w:rsidP="005B2AAC">
      <w:pPr>
        <w:spacing w:before="120" w:after="240" w:line="480" w:lineRule="auto"/>
        <w:rPr>
          <w:rFonts w:eastAsia="Times New Roman"/>
          <w:bCs/>
          <w:color w:val="auto"/>
          <w:kern w:val="0"/>
          <w:sz w:val="28"/>
          <w:szCs w:val="28"/>
          <w14:ligatures w14:val="none"/>
        </w:rPr>
      </w:pPr>
    </w:p>
    <w:p w14:paraId="6FCBDAED" w14:textId="77777777" w:rsidR="002E6A62" w:rsidRDefault="002E6A62" w:rsidP="005B2AAC">
      <w:pPr>
        <w:spacing w:before="120" w:after="240" w:line="480" w:lineRule="auto"/>
        <w:rPr>
          <w:rFonts w:eastAsia="Times New Roman"/>
          <w:bCs/>
          <w:color w:val="auto"/>
          <w:kern w:val="0"/>
          <w:sz w:val="28"/>
          <w:szCs w:val="28"/>
          <w14:ligatures w14:val="none"/>
        </w:rPr>
      </w:pPr>
    </w:p>
    <w:p w14:paraId="3438CFC9" w14:textId="1781F620" w:rsidR="00CA08DF" w:rsidRDefault="00000000" w:rsidP="005B2AAC">
      <w:pPr>
        <w:spacing w:before="120" w:after="240" w:line="480" w:lineRule="auto"/>
        <w:rPr>
          <w:rFonts w:eastAsia="Arial"/>
          <w:bCs/>
          <w:color w:val="auto"/>
          <w:kern w:val="0"/>
          <w:sz w:val="28"/>
          <w:szCs w:val="28"/>
          <w14:ligatures w14:val="none"/>
        </w:rPr>
      </w:pPr>
      <w:r>
        <w:rPr>
          <w:rFonts w:eastAsia="Times New Roman"/>
          <w:bCs/>
          <w:color w:val="auto"/>
          <w:kern w:val="0"/>
          <w:sz w:val="28"/>
          <w:szCs w:val="28"/>
          <w14:ligatures w14:val="none"/>
        </w:rPr>
        <w:pict w14:anchorId="01E34F40">
          <v:rect id="_x0000_i1040" style="width:0;height:1.5pt" o:hralign="center" o:hrstd="t" o:hr="t" fillcolor="#a0a0a0" stroked="f"/>
        </w:pict>
      </w:r>
    </w:p>
    <w:p w14:paraId="609BF498" w14:textId="6051E9D7" w:rsidR="00E078AF" w:rsidRDefault="00E078AF"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So </w:t>
      </w:r>
      <w:r w:rsidR="00CA08DF">
        <w:rPr>
          <w:rFonts w:eastAsia="Arial"/>
          <w:bCs/>
          <w:color w:val="auto"/>
          <w:kern w:val="0"/>
          <w:sz w:val="28"/>
          <w:szCs w:val="28"/>
          <w14:ligatures w14:val="none"/>
        </w:rPr>
        <w:t>that’s all for today’s discussion of</w:t>
      </w:r>
      <w:r w:rsidR="00276C1B">
        <w:rPr>
          <w:rFonts w:eastAsia="Arial"/>
          <w:bCs/>
          <w:color w:val="auto"/>
          <w:kern w:val="0"/>
          <w:sz w:val="28"/>
          <w:szCs w:val="28"/>
          <w14:ligatures w14:val="none"/>
        </w:rPr>
        <w:t xml:space="preserve"> t</w:t>
      </w:r>
      <w:r w:rsidR="00A977D3">
        <w:rPr>
          <w:rFonts w:eastAsia="Arial"/>
          <w:bCs/>
          <w:color w:val="auto"/>
          <w:kern w:val="0"/>
          <w:sz w:val="28"/>
          <w:szCs w:val="28"/>
          <w14:ligatures w14:val="none"/>
        </w:rPr>
        <w:t>he ever-dreaded Recalcitrant Witness.</w:t>
      </w:r>
    </w:p>
    <w:p w14:paraId="6B460838" w14:textId="081F369C" w:rsidR="00D20AE9" w:rsidRPr="00D20AE9" w:rsidRDefault="00A977D3" w:rsidP="00DC02E1">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We have summarized the discussion already – but know that if you want this outline, it is available on goodjudgepod.com.  Shout out to J.B. Bryant for keeping the website up to date!</w:t>
      </w:r>
    </w:p>
    <w:p w14:paraId="519462CF" w14:textId="142428B7" w:rsidR="00CA08DF" w:rsidRDefault="00A977D3" w:rsidP="00DC02E1">
      <w:pPr>
        <w:spacing w:before="120" w:after="240" w:line="480" w:lineRule="auto"/>
        <w:ind w:right="720"/>
        <w:rPr>
          <w:rFonts w:eastAsia="Arial"/>
          <w:bCs/>
          <w:iCs/>
          <w:color w:val="auto"/>
          <w:kern w:val="0"/>
          <w:sz w:val="28"/>
          <w:szCs w:val="28"/>
          <w14:ligatures w14:val="none"/>
        </w:rPr>
      </w:pPr>
      <w:r>
        <w:rPr>
          <w:rFonts w:eastAsia="Arial"/>
          <w:bCs/>
          <w:iCs/>
          <w:color w:val="auto"/>
          <w:kern w:val="0"/>
          <w:sz w:val="28"/>
          <w:szCs w:val="28"/>
          <w14:ligatures w14:val="none"/>
        </w:rPr>
        <w:t xml:space="preserve">As always, we want to discuss topics that are relevant to you, our listener(s).  Shoot us your thoughts at our e-mail address, </w:t>
      </w:r>
      <w:hyperlink r:id="rId8" w:history="1">
        <w:r w:rsidRPr="00C461D8">
          <w:rPr>
            <w:rStyle w:val="Hyperlink"/>
            <w:rFonts w:eastAsia="Arial"/>
            <w:bCs/>
            <w:iCs/>
            <w:kern w:val="0"/>
            <w:sz w:val="28"/>
            <w:szCs w:val="28"/>
            <w14:ligatures w14:val="none"/>
          </w:rPr>
          <w:t>goodjudgepod@gmail.com</w:t>
        </w:r>
      </w:hyperlink>
    </w:p>
    <w:p w14:paraId="0823544D" w14:textId="59D7BCD9" w:rsidR="003518BE" w:rsidRPr="003518BE" w:rsidRDefault="00000000" w:rsidP="00CA7A2F">
      <w:pPr>
        <w:spacing w:before="120" w:after="240" w:line="480" w:lineRule="auto"/>
        <w:ind w:right="720"/>
        <w:rPr>
          <w:rFonts w:eastAsia="Arial"/>
          <w:bCs/>
          <w:color w:val="0000FF"/>
          <w:kern w:val="0"/>
          <w:sz w:val="28"/>
          <w:szCs w:val="28"/>
          <w14:ligatures w14:val="none"/>
        </w:rPr>
      </w:pPr>
      <w:r>
        <w:rPr>
          <w:rFonts w:eastAsia="Times New Roman"/>
          <w:bCs/>
          <w:color w:val="auto"/>
          <w:kern w:val="0"/>
          <w:sz w:val="28"/>
          <w:szCs w:val="28"/>
          <w14:ligatures w14:val="none"/>
        </w:rPr>
        <w:pict w14:anchorId="5378BC2C">
          <v:rect id="_x0000_i1041" style="width:0;height:1.5pt" o:hralign="center" o:hrstd="t" o:hr="t" fillcolor="#a0a0a0" stroked="f"/>
        </w:pict>
      </w:r>
    </w:p>
    <w:p w14:paraId="14B80876" w14:textId="6E0E6E77" w:rsidR="00F44F20" w:rsidRPr="00C77DC5" w:rsidRDefault="00C77DC5" w:rsidP="005F288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 time has come for </w:t>
      </w:r>
      <w:r w:rsidR="005F2887">
        <w:rPr>
          <w:rFonts w:eastAsia="Arial"/>
          <w:bCs/>
          <w:color w:val="auto"/>
          <w:kern w:val="0"/>
          <w:sz w:val="28"/>
          <w:szCs w:val="28"/>
          <w14:ligatures w14:val="none"/>
        </w:rPr>
        <w:t xml:space="preserve">the hotly anticipated </w:t>
      </w:r>
      <w:r>
        <w:rPr>
          <w:rFonts w:eastAsia="Arial"/>
          <w:bCs/>
          <w:color w:val="auto"/>
          <w:kern w:val="0"/>
          <w:sz w:val="28"/>
          <w:szCs w:val="28"/>
          <w14:ligatures w14:val="none"/>
        </w:rPr>
        <w:t xml:space="preserve">music trivia </w:t>
      </w:r>
      <w:r w:rsidR="005F2887">
        <w:rPr>
          <w:rFonts w:eastAsia="Arial"/>
          <w:bCs/>
          <w:color w:val="auto"/>
          <w:kern w:val="0"/>
          <w:sz w:val="28"/>
          <w:szCs w:val="28"/>
          <w14:ligatures w14:val="none"/>
        </w:rPr>
        <w:t>section of the podcast.  Tain, take it away.</w:t>
      </w:r>
    </w:p>
    <w:bookmarkEnd w:id="1"/>
    <w:p w14:paraId="58406CBB" w14:textId="7476BD71" w:rsidR="00060117" w:rsidRDefault="00060117" w:rsidP="00060117">
      <w:pPr>
        <w:spacing w:line="480" w:lineRule="auto"/>
        <w:rPr>
          <w:rFonts w:eastAsia="Arial"/>
          <w:bCs/>
          <w:i/>
          <w:iCs/>
          <w:color w:val="auto"/>
          <w:kern w:val="0"/>
          <w:sz w:val="28"/>
          <w:szCs w:val="28"/>
          <w14:ligatures w14:val="none"/>
        </w:rPr>
      </w:pPr>
      <w:r>
        <w:rPr>
          <w:rFonts w:eastAsia="Arial"/>
          <w:bCs/>
          <w:i/>
          <w:iCs/>
          <w:color w:val="auto"/>
          <w:kern w:val="0"/>
          <w:sz w:val="28"/>
          <w:szCs w:val="28"/>
          <w14:ligatures w14:val="none"/>
        </w:rPr>
        <w:tab/>
        <w:t xml:space="preserve">Back in our day, a brand new technology broke onto the scene that were called music videos.  Some upstart cable station called MTV played little movies </w:t>
      </w:r>
      <w:r w:rsidR="007C212F">
        <w:rPr>
          <w:rFonts w:eastAsia="Arial"/>
          <w:bCs/>
          <w:i/>
          <w:iCs/>
          <w:color w:val="auto"/>
          <w:kern w:val="0"/>
          <w:sz w:val="28"/>
          <w:szCs w:val="28"/>
          <w14:ligatures w14:val="none"/>
        </w:rPr>
        <w:t xml:space="preserve">that tracked popular songs.  It really blew our minds.  Remember, young </w:t>
      </w:r>
      <w:proofErr w:type="spellStart"/>
      <w:r w:rsidR="007C212F">
        <w:rPr>
          <w:rFonts w:eastAsia="Arial"/>
          <w:bCs/>
          <w:i/>
          <w:iCs/>
          <w:color w:val="auto"/>
          <w:kern w:val="0"/>
          <w:sz w:val="28"/>
          <w:szCs w:val="28"/>
          <w14:ligatures w14:val="none"/>
        </w:rPr>
        <w:t>un’s</w:t>
      </w:r>
      <w:proofErr w:type="spellEnd"/>
      <w:r w:rsidR="007C212F">
        <w:rPr>
          <w:rFonts w:eastAsia="Arial"/>
          <w:bCs/>
          <w:i/>
          <w:iCs/>
          <w:color w:val="auto"/>
          <w:kern w:val="0"/>
          <w:sz w:val="28"/>
          <w:szCs w:val="28"/>
          <w14:ligatures w14:val="none"/>
        </w:rPr>
        <w:t>, that there was no YouTube – heck, there was no internet or a personal computer to speak of.</w:t>
      </w:r>
    </w:p>
    <w:p w14:paraId="3B951C92" w14:textId="6129CBC5" w:rsidR="007C212F" w:rsidRDefault="007C212F" w:rsidP="00060117">
      <w:pPr>
        <w:spacing w:line="480" w:lineRule="auto"/>
        <w:rPr>
          <w:rFonts w:eastAsia="Arial"/>
          <w:bCs/>
          <w:i/>
          <w:iCs/>
          <w:color w:val="auto"/>
          <w:kern w:val="0"/>
          <w:sz w:val="28"/>
          <w:szCs w:val="28"/>
          <w14:ligatures w14:val="none"/>
        </w:rPr>
      </w:pPr>
      <w:r>
        <w:rPr>
          <w:rFonts w:eastAsia="Arial"/>
          <w:bCs/>
          <w:i/>
          <w:iCs/>
          <w:color w:val="auto"/>
          <w:kern w:val="0"/>
          <w:sz w:val="28"/>
          <w:szCs w:val="28"/>
          <w14:ligatures w14:val="none"/>
        </w:rPr>
        <w:lastRenderedPageBreak/>
        <w:tab/>
        <w:t>So today’s trivia deals with iconic music videos.  You may have your own list of the top 5 music videos of all time but we are using one we found on the internet.  In all honesty, this one tracked a “Top 100 of all time” list made by VH1 but don’t get lost in the details.</w:t>
      </w:r>
    </w:p>
    <w:p w14:paraId="5F21B83E" w14:textId="3CBCCA0F" w:rsidR="007C212F" w:rsidRDefault="007C212F" w:rsidP="00060117">
      <w:pPr>
        <w:spacing w:line="480" w:lineRule="auto"/>
        <w:rPr>
          <w:rFonts w:eastAsia="Arial"/>
          <w:bCs/>
          <w:i/>
          <w:iCs/>
          <w:color w:val="auto"/>
          <w:kern w:val="0"/>
          <w:sz w:val="28"/>
          <w:szCs w:val="28"/>
          <w14:ligatures w14:val="none"/>
        </w:rPr>
      </w:pPr>
      <w:r>
        <w:rPr>
          <w:rFonts w:eastAsia="Arial"/>
          <w:bCs/>
          <w:i/>
          <w:iCs/>
          <w:color w:val="auto"/>
          <w:kern w:val="0"/>
          <w:sz w:val="28"/>
          <w:szCs w:val="28"/>
          <w14:ligatures w14:val="none"/>
        </w:rPr>
        <w:t xml:space="preserve">#5 </w:t>
      </w:r>
      <w:r w:rsidR="00C67E3A">
        <w:rPr>
          <w:rFonts w:eastAsia="Arial"/>
          <w:bCs/>
          <w:i/>
          <w:iCs/>
          <w:color w:val="auto"/>
          <w:kern w:val="0"/>
          <w:sz w:val="28"/>
          <w:szCs w:val="28"/>
          <w14:ligatures w14:val="none"/>
        </w:rPr>
        <w:t>–</w:t>
      </w:r>
      <w:r>
        <w:rPr>
          <w:rFonts w:eastAsia="Arial"/>
          <w:bCs/>
          <w:i/>
          <w:iCs/>
          <w:color w:val="auto"/>
          <w:kern w:val="0"/>
          <w:sz w:val="28"/>
          <w:szCs w:val="28"/>
          <w14:ligatures w14:val="none"/>
        </w:rPr>
        <w:t xml:space="preserve"> </w:t>
      </w:r>
      <w:r w:rsidR="00C67E3A">
        <w:rPr>
          <w:rFonts w:eastAsia="Arial"/>
          <w:bCs/>
          <w:i/>
          <w:iCs/>
          <w:color w:val="auto"/>
          <w:kern w:val="0"/>
          <w:sz w:val="28"/>
          <w:szCs w:val="28"/>
          <w14:ligatures w14:val="none"/>
        </w:rPr>
        <w:t>Guns and Roses had a video for a song that tells the story of a rock star (Axl Rose) getting married to a woman who later dies.  I will be honest, this song from the catalog of G&amp;R hits did not jump to mind.  Wanna’ guess the name of the song?  HINT – 2 words.  Give up? November Rain.</w:t>
      </w:r>
    </w:p>
    <w:p w14:paraId="728A2FDD" w14:textId="4044D908" w:rsidR="00C67E3A" w:rsidRDefault="00C67E3A" w:rsidP="00060117">
      <w:pPr>
        <w:spacing w:line="480" w:lineRule="auto"/>
        <w:rPr>
          <w:rFonts w:eastAsia="Arial"/>
          <w:bCs/>
          <w:i/>
          <w:iCs/>
          <w:color w:val="auto"/>
          <w:kern w:val="0"/>
          <w:sz w:val="28"/>
          <w:szCs w:val="28"/>
          <w14:ligatures w14:val="none"/>
        </w:rPr>
      </w:pPr>
      <w:r>
        <w:rPr>
          <w:rFonts w:eastAsia="Arial"/>
          <w:bCs/>
          <w:i/>
          <w:iCs/>
          <w:color w:val="auto"/>
          <w:kern w:val="0"/>
          <w:sz w:val="28"/>
          <w:szCs w:val="28"/>
          <w14:ligatures w14:val="none"/>
        </w:rPr>
        <w:t>#4 Nirvana holds the #4 slot.  Merely saying “Nirvana” probably gives away the answer – but let’s play along.  The video features the band playing in a bit of a mosh pit – the mosh pit is made up of cheerleaders, zombies and all sorts of incongruent people.  What’s the name of the song?  Give up?  “Smells like Teen Spirit.”</w:t>
      </w:r>
      <w:r>
        <w:rPr>
          <w:rFonts w:eastAsia="Arial"/>
          <w:bCs/>
          <w:i/>
          <w:iCs/>
          <w:color w:val="auto"/>
          <w:kern w:val="0"/>
          <w:sz w:val="28"/>
          <w:szCs w:val="28"/>
          <w14:ligatures w14:val="none"/>
        </w:rPr>
        <w:br/>
        <w:t>#3</w:t>
      </w:r>
      <w:r w:rsidR="00FD5DB3">
        <w:rPr>
          <w:rFonts w:eastAsia="Arial"/>
          <w:bCs/>
          <w:i/>
          <w:iCs/>
          <w:color w:val="auto"/>
          <w:kern w:val="0"/>
          <w:sz w:val="28"/>
          <w:szCs w:val="28"/>
          <w14:ligatures w14:val="none"/>
        </w:rPr>
        <w:t xml:space="preserve"> There once was a great rock band called Genesis but the members of the band eventually broke off and performed as individual acts.  The front man of Genesis WAS NOT Phil Collins – it was Peter Gabriel.  His video landed at #3 on this chart of all time great music videos.  This video had Claymation and won 9 video awards in 1987.  There were people featured morphing into construction tools, </w:t>
      </w:r>
      <w:r w:rsidR="00FD5DB3">
        <w:rPr>
          <w:rFonts w:eastAsia="Arial"/>
          <w:bCs/>
          <w:i/>
          <w:iCs/>
          <w:color w:val="auto"/>
          <w:kern w:val="0"/>
          <w:sz w:val="28"/>
          <w:szCs w:val="28"/>
          <w14:ligatures w14:val="none"/>
        </w:rPr>
        <w:lastRenderedPageBreak/>
        <w:t>dancing chickens and all sorts of other mayhem featured in this video.  For what song was this video made?  Give Up/  “Sledgehammer”</w:t>
      </w:r>
    </w:p>
    <w:p w14:paraId="33D3EAA4" w14:textId="6A910957" w:rsidR="00FD5DB3" w:rsidRDefault="00FD5DB3" w:rsidP="00060117">
      <w:pPr>
        <w:spacing w:line="480" w:lineRule="auto"/>
        <w:rPr>
          <w:rFonts w:eastAsia="Arial"/>
          <w:bCs/>
          <w:i/>
          <w:iCs/>
          <w:color w:val="auto"/>
          <w:kern w:val="0"/>
          <w:sz w:val="28"/>
          <w:szCs w:val="28"/>
          <w14:ligatures w14:val="none"/>
        </w:rPr>
      </w:pPr>
      <w:r>
        <w:rPr>
          <w:rFonts w:eastAsia="Arial"/>
          <w:bCs/>
          <w:i/>
          <w:iCs/>
          <w:color w:val="auto"/>
          <w:kern w:val="0"/>
          <w:sz w:val="28"/>
          <w:szCs w:val="28"/>
          <w14:ligatures w14:val="none"/>
        </w:rPr>
        <w:t xml:space="preserve">#2 </w:t>
      </w:r>
      <w:r w:rsidR="0006688C">
        <w:rPr>
          <w:rFonts w:eastAsia="Arial"/>
          <w:bCs/>
          <w:i/>
          <w:iCs/>
          <w:color w:val="auto"/>
          <w:kern w:val="0"/>
          <w:sz w:val="28"/>
          <w:szCs w:val="28"/>
          <w14:ligatures w14:val="none"/>
        </w:rPr>
        <w:t>Madonna raised all sorts of controversy with almost everyone on the planet for this video.  It was released in 1989 and featured images of burning crosses, a criminal depicted as a saint and a knife cutting into Madonna’s hands.  What was the song?  Give up?  “Like a Prayer”</w:t>
      </w:r>
    </w:p>
    <w:p w14:paraId="0681B0FB" w14:textId="77777777" w:rsidR="00511361" w:rsidRDefault="0006688C" w:rsidP="00511361">
      <w:pPr>
        <w:spacing w:line="480" w:lineRule="auto"/>
        <w:rPr>
          <w:rFonts w:eastAsia="Arial"/>
          <w:bCs/>
          <w:i/>
          <w:iCs/>
          <w:color w:val="auto"/>
          <w:kern w:val="0"/>
          <w:sz w:val="28"/>
          <w:szCs w:val="28"/>
          <w14:ligatures w14:val="none"/>
        </w:rPr>
      </w:pPr>
      <w:r>
        <w:rPr>
          <w:rFonts w:eastAsia="Arial"/>
          <w:bCs/>
          <w:i/>
          <w:iCs/>
          <w:color w:val="auto"/>
          <w:kern w:val="0"/>
          <w:sz w:val="28"/>
          <w:szCs w:val="28"/>
          <w14:ligatures w14:val="none"/>
        </w:rPr>
        <w:t xml:space="preserve">#1  There are very few things in this world where almost everyone agrees that something or someone was the GOAT – greatest of all time.  Just ask someone </w:t>
      </w:r>
      <w:r w:rsidR="00511361">
        <w:rPr>
          <w:rFonts w:eastAsia="Arial"/>
          <w:bCs/>
          <w:i/>
          <w:iCs/>
          <w:color w:val="auto"/>
          <w:kern w:val="0"/>
          <w:sz w:val="28"/>
          <w:szCs w:val="28"/>
          <w14:ligatures w14:val="none"/>
        </w:rPr>
        <w:t xml:space="preserve">their opinion of </w:t>
      </w:r>
      <w:r>
        <w:rPr>
          <w:rFonts w:eastAsia="Arial"/>
          <w:bCs/>
          <w:i/>
          <w:iCs/>
          <w:color w:val="auto"/>
          <w:kern w:val="0"/>
          <w:sz w:val="28"/>
          <w:szCs w:val="28"/>
          <w14:ligatures w14:val="none"/>
        </w:rPr>
        <w:t xml:space="preserve">who is the GOAT in basketball or football.  </w:t>
      </w:r>
      <w:r w:rsidR="00511361">
        <w:rPr>
          <w:rFonts w:eastAsia="Arial"/>
          <w:bCs/>
          <w:i/>
          <w:iCs/>
          <w:color w:val="auto"/>
          <w:kern w:val="0"/>
          <w:sz w:val="28"/>
          <w:szCs w:val="28"/>
          <w14:ligatures w14:val="none"/>
        </w:rPr>
        <w:t>Well, this video is the greatest of all time and it is almost without dissention.  I am only going to tell you that Vincent Price made $7mil for his part in the song and video and that was in 1983 dollars.  Enough info?  The artist was Michael Jackson.  I know that is enough information.  The song?  “Thriller”</w:t>
      </w:r>
    </w:p>
    <w:p w14:paraId="386D8AF2" w14:textId="29002B16" w:rsidR="00314863" w:rsidRDefault="00314863" w:rsidP="00511361">
      <w:pPr>
        <w:spacing w:line="480" w:lineRule="auto"/>
        <w:ind w:firstLine="720"/>
        <w:rPr>
          <w:rFonts w:eastAsia="Arial"/>
          <w:bCs/>
          <w:i/>
          <w:iCs/>
          <w:color w:val="auto"/>
          <w:kern w:val="0"/>
          <w:sz w:val="28"/>
          <w:szCs w:val="28"/>
          <w14:ligatures w14:val="none"/>
        </w:rPr>
      </w:pPr>
      <w:r>
        <w:rPr>
          <w:rFonts w:eastAsia="Arial"/>
          <w:bCs/>
          <w:i/>
          <w:iCs/>
          <w:color w:val="auto"/>
          <w:kern w:val="0"/>
          <w:sz w:val="28"/>
          <w:szCs w:val="28"/>
          <w14:ligatures w14:val="none"/>
        </w:rPr>
        <w:t>Have a great day everyone and thanks for listening.</w:t>
      </w:r>
    </w:p>
    <w:p w14:paraId="080C8DCD" w14:textId="7FCABA94" w:rsidR="00314863" w:rsidRDefault="00314863">
      <w:pPr>
        <w:rPr>
          <w:rFonts w:eastAsia="Arial"/>
          <w:bCs/>
          <w:i/>
          <w:iCs/>
          <w:color w:val="auto"/>
          <w:kern w:val="0"/>
          <w:sz w:val="28"/>
          <w:szCs w:val="28"/>
          <w14:ligatures w14:val="none"/>
        </w:rPr>
      </w:pPr>
      <w:r>
        <w:rPr>
          <w:rFonts w:eastAsia="Arial"/>
          <w:bCs/>
          <w:i/>
          <w:iCs/>
          <w:color w:val="auto"/>
          <w:kern w:val="0"/>
          <w:sz w:val="28"/>
          <w:szCs w:val="28"/>
          <w14:ligatures w14:val="none"/>
        </w:rPr>
        <w:br w:type="page"/>
      </w:r>
    </w:p>
    <w:sectPr w:rsidR="00314863"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4B91" w14:textId="77777777" w:rsidR="00255ACC" w:rsidRDefault="00255ACC" w:rsidP="00A52F35">
      <w:r>
        <w:separator/>
      </w:r>
    </w:p>
  </w:endnote>
  <w:endnote w:type="continuationSeparator" w:id="0">
    <w:p w14:paraId="64A4AC73" w14:textId="77777777" w:rsidR="00255ACC" w:rsidRDefault="00255ACC" w:rsidP="00A52F35">
      <w:r>
        <w:continuationSeparator/>
      </w:r>
    </w:p>
  </w:endnote>
  <w:endnote w:id="1">
    <w:p w14:paraId="6D3867F3" w14:textId="152E280C" w:rsidR="00EB19D2" w:rsidRDefault="00EB19D2">
      <w:pPr>
        <w:pStyle w:val="EndnoteText"/>
      </w:pPr>
      <w:r>
        <w:rPr>
          <w:rStyle w:val="EndnoteReference"/>
        </w:rPr>
        <w:endnoteRef/>
      </w:r>
      <w:r>
        <w:t xml:space="preserve"> </w:t>
      </w:r>
      <w:r w:rsidRPr="00EB19D2">
        <w:rPr>
          <w:rFonts w:eastAsia="Times New Roman"/>
          <w:bCs/>
          <w:color w:val="auto"/>
          <w:kern w:val="0"/>
          <w:sz w:val="28"/>
          <w:szCs w:val="28"/>
          <w14:ligatures w14:val="none"/>
        </w:rPr>
        <w:t>Art. I, §1, ¶ XVI</w:t>
      </w:r>
      <w:r>
        <w:rPr>
          <w:rFonts w:eastAsia="Times New Roman"/>
          <w:bCs/>
          <w:color w:val="auto"/>
          <w:kern w:val="0"/>
          <w:sz w:val="28"/>
          <w:szCs w:val="28"/>
          <w14:ligatures w14:val="none"/>
        </w:rPr>
        <w:t>.</w:t>
      </w:r>
    </w:p>
  </w:endnote>
  <w:endnote w:id="2">
    <w:p w14:paraId="0C8CD984" w14:textId="77777777" w:rsidR="000B359D" w:rsidRPr="00DC0783" w:rsidRDefault="000B359D" w:rsidP="000B359D">
      <w:pPr>
        <w:pStyle w:val="EndnoteText"/>
        <w:rPr>
          <w:szCs w:val="24"/>
        </w:rPr>
      </w:pPr>
      <w:r>
        <w:rPr>
          <w:rStyle w:val="EndnoteReference"/>
        </w:rPr>
        <w:endnoteRef/>
      </w:r>
      <w:r>
        <w:t xml:space="preserve"> </w:t>
      </w:r>
      <w:r w:rsidRPr="007643E1">
        <w:rPr>
          <w:i/>
          <w:szCs w:val="24"/>
        </w:rPr>
        <w:t>Thomas v. State</w:t>
      </w:r>
      <w:r>
        <w:rPr>
          <w:szCs w:val="24"/>
        </w:rPr>
        <w:t xml:space="preserve">, 245 Ga. 688, 691 (1980); </w:t>
      </w:r>
      <w:r>
        <w:rPr>
          <w:i/>
          <w:szCs w:val="24"/>
        </w:rPr>
        <w:t>Lawton v. State</w:t>
      </w:r>
      <w:r>
        <w:rPr>
          <w:szCs w:val="24"/>
        </w:rPr>
        <w:t xml:space="preserve">, 259 Ga. 855, 856 (1990); </w:t>
      </w:r>
      <w:r>
        <w:rPr>
          <w:i/>
          <w:szCs w:val="24"/>
        </w:rPr>
        <w:t>Wilson v. State</w:t>
      </w:r>
      <w:r>
        <w:rPr>
          <w:szCs w:val="24"/>
        </w:rPr>
        <w:t>, 286 Ga. 141, 142 (2009).</w:t>
      </w:r>
    </w:p>
  </w:endnote>
  <w:endnote w:id="3">
    <w:p w14:paraId="12815959" w14:textId="77777777" w:rsidR="000B359D" w:rsidRPr="00DC0783" w:rsidRDefault="000B359D" w:rsidP="000B359D">
      <w:pPr>
        <w:pStyle w:val="EndnoteText"/>
      </w:pPr>
      <w:r>
        <w:rPr>
          <w:rStyle w:val="EndnoteReference"/>
        </w:rPr>
        <w:endnoteRef/>
      </w:r>
      <w:r>
        <w:t xml:space="preserve"> </w:t>
      </w:r>
      <w:r>
        <w:rPr>
          <w:i/>
        </w:rPr>
        <w:t>Romer v. State</w:t>
      </w:r>
      <w:r>
        <w:t>, 293 Ga. 339, 342 (2013).</w:t>
      </w:r>
    </w:p>
  </w:endnote>
  <w:endnote w:id="4">
    <w:p w14:paraId="074D6E3F" w14:textId="77777777" w:rsidR="000B359D" w:rsidRPr="007643E1" w:rsidRDefault="000B359D" w:rsidP="000B359D">
      <w:pPr>
        <w:pStyle w:val="EndnoteText"/>
        <w:rPr>
          <w:szCs w:val="24"/>
        </w:rPr>
      </w:pPr>
      <w:r w:rsidRPr="007643E1">
        <w:rPr>
          <w:rStyle w:val="EndnoteReference"/>
          <w:szCs w:val="24"/>
        </w:rPr>
        <w:endnoteRef/>
      </w:r>
      <w:r w:rsidRPr="007643E1">
        <w:rPr>
          <w:szCs w:val="24"/>
        </w:rPr>
        <w:t xml:space="preserve"> </w:t>
      </w:r>
      <w:r w:rsidRPr="007643E1">
        <w:rPr>
          <w:i/>
          <w:szCs w:val="24"/>
        </w:rPr>
        <w:t>Victrum v. State</w:t>
      </w:r>
      <w:r w:rsidRPr="007643E1">
        <w:rPr>
          <w:szCs w:val="24"/>
        </w:rPr>
        <w:t xml:space="preserve">, 203 Ga. App. 377 (1992); see </w:t>
      </w:r>
      <w:r w:rsidRPr="007643E1">
        <w:rPr>
          <w:i/>
          <w:szCs w:val="24"/>
        </w:rPr>
        <w:t>Anderson v. Southern Guar. Ins. Co.</w:t>
      </w:r>
      <w:r w:rsidRPr="007643E1">
        <w:rPr>
          <w:szCs w:val="24"/>
        </w:rPr>
        <w:t>, 235 Ga. App. 306 (1998) where the witness was allowed to raise the privilege while the conviction had a pending motion for new trial.</w:t>
      </w:r>
    </w:p>
  </w:endnote>
  <w:endnote w:id="5">
    <w:p w14:paraId="408B223B" w14:textId="77777777" w:rsidR="000B359D" w:rsidRDefault="000B359D" w:rsidP="000B359D">
      <w:pPr>
        <w:pStyle w:val="EndnoteText"/>
      </w:pPr>
      <w:r>
        <w:rPr>
          <w:rStyle w:val="EndnoteReference"/>
        </w:rPr>
        <w:endnoteRef/>
      </w:r>
      <w:r>
        <w:t xml:space="preserve"> </w:t>
      </w:r>
      <w:r w:rsidRPr="00EE43F5">
        <w:rPr>
          <w:i/>
        </w:rPr>
        <w:t>Gober v. State</w:t>
      </w:r>
      <w:r w:rsidRPr="00EE43F5">
        <w:t>, 300 Ga. App. 202, 204 (2009)</w:t>
      </w:r>
      <w:r>
        <w:t>.</w:t>
      </w:r>
    </w:p>
  </w:endnote>
  <w:endnote w:id="6">
    <w:p w14:paraId="34AD05E1" w14:textId="77777777" w:rsidR="000B359D" w:rsidRPr="002B0068" w:rsidRDefault="000B359D" w:rsidP="000B359D">
      <w:pPr>
        <w:pStyle w:val="EndnoteText"/>
      </w:pPr>
      <w:r>
        <w:rPr>
          <w:rStyle w:val="EndnoteReference"/>
        </w:rPr>
        <w:endnoteRef/>
      </w:r>
      <w:r>
        <w:t xml:space="preserve"> </w:t>
      </w:r>
      <w:r>
        <w:rPr>
          <w:i/>
        </w:rPr>
        <w:t>Romer v. State</w:t>
      </w:r>
      <w:r>
        <w:t>, 293 Ga. 339, 343 (2013).</w:t>
      </w:r>
    </w:p>
  </w:endnote>
  <w:endnote w:id="7">
    <w:p w14:paraId="62DCA188" w14:textId="77777777" w:rsidR="000B359D" w:rsidRPr="003F08A4" w:rsidRDefault="000B359D" w:rsidP="000B359D">
      <w:pPr>
        <w:pStyle w:val="EndnoteText"/>
      </w:pPr>
      <w:r>
        <w:rPr>
          <w:rStyle w:val="EndnoteReference"/>
        </w:rPr>
        <w:endnoteRef/>
      </w:r>
      <w:r>
        <w:t xml:space="preserve"> </w:t>
      </w:r>
      <w:r>
        <w:rPr>
          <w:i/>
        </w:rPr>
        <w:t>Dempsey v. Kaminski Jewelry, Inc.</w:t>
      </w:r>
      <w:r>
        <w:t xml:space="preserve">, 278 Ga. App. 814 (2006).  See </w:t>
      </w:r>
      <w:r>
        <w:rPr>
          <w:i/>
        </w:rPr>
        <w:t>Brown v. State</w:t>
      </w:r>
      <w:r>
        <w:t>, 295 Ga. 804, 810 (2014) which found that the trial court did not abuse its discretion by refusing to allow the defendant to call a former co-defendant to the stand and, in the presence of the jury, ask questions of the witness and have the court determine on a question-by-question basis whether the former co-defendant had a valid reason to raise the witness’ Fifth Amendment privilege.</w:t>
      </w:r>
    </w:p>
  </w:endnote>
  <w:endnote w:id="8">
    <w:p w14:paraId="452DD578" w14:textId="77777777" w:rsidR="000B359D" w:rsidRPr="007643E1" w:rsidRDefault="000B359D" w:rsidP="000B359D">
      <w:pPr>
        <w:pStyle w:val="EndnoteText"/>
        <w:rPr>
          <w:szCs w:val="24"/>
        </w:rPr>
      </w:pPr>
      <w:r w:rsidRPr="007643E1">
        <w:rPr>
          <w:rStyle w:val="EndnoteReference"/>
          <w:szCs w:val="24"/>
        </w:rPr>
        <w:endnoteRef/>
      </w:r>
      <w:r w:rsidRPr="007643E1">
        <w:rPr>
          <w:szCs w:val="24"/>
        </w:rPr>
        <w:t xml:space="preserve"> </w:t>
      </w:r>
      <w:r w:rsidRPr="007643E1">
        <w:rPr>
          <w:i/>
          <w:szCs w:val="24"/>
        </w:rPr>
        <w:t>Billings v. State</w:t>
      </w:r>
      <w:r w:rsidRPr="007643E1">
        <w:rPr>
          <w:szCs w:val="24"/>
        </w:rPr>
        <w:t>, 278 Ga. 833 (2005).</w:t>
      </w:r>
    </w:p>
  </w:endnote>
  <w:endnote w:id="9">
    <w:p w14:paraId="02A9CAA5" w14:textId="77777777" w:rsidR="00C672A3" w:rsidRPr="00653288" w:rsidRDefault="00C672A3" w:rsidP="00C672A3">
      <w:pPr>
        <w:pStyle w:val="EndnoteText"/>
      </w:pPr>
      <w:r>
        <w:rPr>
          <w:rStyle w:val="EndnoteReference"/>
        </w:rPr>
        <w:endnoteRef/>
      </w:r>
      <w:r>
        <w:t xml:space="preserve"> </w:t>
      </w:r>
      <w:r>
        <w:rPr>
          <w:i/>
        </w:rPr>
        <w:t>Billings v. State</w:t>
      </w:r>
      <w:r>
        <w:t xml:space="preserve">, 278 Ga. 833, 834 (2005), citing </w:t>
      </w:r>
      <w:r>
        <w:rPr>
          <w:i/>
        </w:rPr>
        <w:t>Davis v. State</w:t>
      </w:r>
      <w:r>
        <w:t xml:space="preserve">, 255 Ga. 598, 604 (1986); </w:t>
      </w:r>
      <w:r>
        <w:rPr>
          <w:i/>
        </w:rPr>
        <w:t>Anderson v. State</w:t>
      </w:r>
      <w:r>
        <w:t>, 338 Ga. App. 171, 174 (2016).</w:t>
      </w:r>
    </w:p>
  </w:endnote>
  <w:endnote w:id="10">
    <w:p w14:paraId="6208E889" w14:textId="77777777" w:rsidR="00C672A3" w:rsidRPr="0078216E" w:rsidRDefault="00C672A3" w:rsidP="00C672A3">
      <w:pPr>
        <w:pStyle w:val="EndnoteText"/>
      </w:pPr>
      <w:r>
        <w:rPr>
          <w:rStyle w:val="EndnoteReference"/>
        </w:rPr>
        <w:endnoteRef/>
      </w:r>
      <w:r>
        <w:t xml:space="preserve"> </w:t>
      </w:r>
      <w:r>
        <w:rPr>
          <w:i/>
        </w:rPr>
        <w:t>McIntyre v. State</w:t>
      </w:r>
      <w:r>
        <w:t>, 266 Ga. 7, 11 (1995) (“</w:t>
      </w:r>
      <w:r w:rsidRPr="00EE43F5">
        <w:t>[A] witness' in-court invocation of his Fifth Amendment rights is not necessarily harmful. [</w:t>
      </w:r>
      <w:proofErr w:type="spellStart"/>
      <w:r w:rsidRPr="00EE43F5">
        <w:t>Cits</w:t>
      </w:r>
      <w:proofErr w:type="spellEnd"/>
      <w:r w:rsidRPr="00EE43F5">
        <w:t>.] What is harmful is for the trial court to allow the State, once a witness has invoked his Fifth Amendment rights, “in effect, to testify for the witness and circumvent meaningful cross-examination as to obvious inferences....” [Cit.] If a witness' mere in-court assertion of his Fifth Amendment rights is not necessarily harmful, then a passing reference to [his] mere out-of-court assertion of [his] rights, although irrelevant, is not prejudicial.</w:t>
      </w:r>
      <w:r>
        <w:t>”)</w:t>
      </w:r>
    </w:p>
  </w:endnote>
  <w:endnote w:id="11">
    <w:p w14:paraId="0ACDC316" w14:textId="77777777" w:rsidR="00C672A3" w:rsidRDefault="00C672A3" w:rsidP="00C672A3">
      <w:pPr>
        <w:pStyle w:val="EndnoteText"/>
      </w:pPr>
      <w:r>
        <w:rPr>
          <w:rStyle w:val="EndnoteReference"/>
        </w:rPr>
        <w:endnoteRef/>
      </w:r>
      <w:r>
        <w:t xml:space="preserve"> </w:t>
      </w:r>
      <w:r w:rsidRPr="001A4F19">
        <w:rPr>
          <w:i/>
        </w:rPr>
        <w:t xml:space="preserve">Sillah v. </w:t>
      </w:r>
      <w:r w:rsidRPr="001A4F19">
        <w:t xml:space="preserve">State, 291 Ga. App. 848, 850-851 (2008); </w:t>
      </w:r>
      <w:r w:rsidRPr="001A4F19">
        <w:rPr>
          <w:i/>
        </w:rPr>
        <w:t>Hendricks v. State</w:t>
      </w:r>
      <w:r w:rsidRPr="001A4F19">
        <w:t xml:space="preserve">, 283 Ga. 470, 473 (2008); </w:t>
      </w:r>
      <w:r w:rsidRPr="001A4F19">
        <w:rPr>
          <w:i/>
        </w:rPr>
        <w:t>Davis v. State</w:t>
      </w:r>
      <w:r w:rsidRPr="001A4F19">
        <w:t xml:space="preserve">, 255 Ga. 598, 604 (1986); </w:t>
      </w:r>
      <w:r w:rsidRPr="001A4F19">
        <w:rPr>
          <w:i/>
        </w:rPr>
        <w:t>King v. State</w:t>
      </w:r>
      <w:r w:rsidRPr="001A4F19">
        <w:t xml:space="preserve">, 202 Ga. App. 817 (1992); </w:t>
      </w:r>
      <w:r w:rsidRPr="001A4F19">
        <w:rPr>
          <w:i/>
        </w:rPr>
        <w:t>Sweat v. State</w:t>
      </w:r>
      <w:r w:rsidRPr="001A4F19">
        <w:t>, 261 Ga. App. 88 (1997).</w:t>
      </w:r>
    </w:p>
  </w:endnote>
  <w:endnote w:id="12">
    <w:p w14:paraId="5546136A" w14:textId="77777777" w:rsidR="00120C56" w:rsidRPr="007643E1" w:rsidRDefault="00120C56" w:rsidP="00120C56">
      <w:pPr>
        <w:pStyle w:val="EndnoteText"/>
        <w:rPr>
          <w:szCs w:val="24"/>
        </w:rPr>
      </w:pPr>
      <w:r w:rsidRPr="007643E1">
        <w:rPr>
          <w:rStyle w:val="EndnoteReference"/>
          <w:szCs w:val="24"/>
        </w:rPr>
        <w:endnoteRef/>
      </w:r>
      <w:r w:rsidRPr="007643E1">
        <w:rPr>
          <w:szCs w:val="24"/>
        </w:rPr>
        <w:t xml:space="preserve"> </w:t>
      </w:r>
      <w:r w:rsidRPr="007643E1">
        <w:rPr>
          <w:i/>
          <w:szCs w:val="24"/>
        </w:rPr>
        <w:t>Lawrence v. State</w:t>
      </w:r>
      <w:r w:rsidRPr="007643E1">
        <w:rPr>
          <w:szCs w:val="24"/>
        </w:rPr>
        <w:t xml:space="preserve">, 257 Ga. 423 (1987); </w:t>
      </w:r>
      <w:r w:rsidRPr="007643E1">
        <w:rPr>
          <w:i/>
          <w:szCs w:val="24"/>
        </w:rPr>
        <w:t>In re Victorine</w:t>
      </w:r>
      <w:r w:rsidRPr="007643E1">
        <w:rPr>
          <w:szCs w:val="24"/>
        </w:rPr>
        <w:t>, 230 Ga. Ap. 209 (1998).</w:t>
      </w:r>
    </w:p>
  </w:endnote>
  <w:endnote w:id="13">
    <w:p w14:paraId="7C639F72" w14:textId="77777777" w:rsidR="00120C56" w:rsidRPr="007643E1" w:rsidRDefault="00120C56" w:rsidP="00120C56">
      <w:pPr>
        <w:pStyle w:val="EndnoteText"/>
        <w:rPr>
          <w:szCs w:val="24"/>
        </w:rPr>
      </w:pPr>
      <w:r w:rsidRPr="007643E1">
        <w:rPr>
          <w:rStyle w:val="EndnoteReference"/>
          <w:szCs w:val="24"/>
        </w:rPr>
        <w:endnoteRef/>
      </w:r>
      <w:r w:rsidRPr="007643E1">
        <w:rPr>
          <w:szCs w:val="24"/>
        </w:rPr>
        <w:t xml:space="preserve"> </w:t>
      </w:r>
      <w:r w:rsidRPr="007643E1">
        <w:rPr>
          <w:i/>
          <w:szCs w:val="24"/>
        </w:rPr>
        <w:t>Hoffman v. US</w:t>
      </w:r>
      <w:r w:rsidRPr="007643E1">
        <w:rPr>
          <w:szCs w:val="24"/>
        </w:rPr>
        <w:t>, 341 U.S. 479 (1951).</w:t>
      </w:r>
    </w:p>
  </w:endnote>
  <w:endnote w:id="14">
    <w:p w14:paraId="14E8E5BB" w14:textId="77777777" w:rsidR="00120C56" w:rsidRPr="00955B4D" w:rsidRDefault="00120C56" w:rsidP="00120C56">
      <w:pPr>
        <w:pStyle w:val="EndnoteText"/>
      </w:pPr>
      <w:r>
        <w:rPr>
          <w:rStyle w:val="EndnoteReference"/>
        </w:rPr>
        <w:endnoteRef/>
      </w:r>
      <w:r>
        <w:t xml:space="preserve"> </w:t>
      </w:r>
      <w:r>
        <w:rPr>
          <w:i/>
        </w:rPr>
        <w:t>Hendricks v. State</w:t>
      </w:r>
      <w:r>
        <w:t xml:space="preserve">, 283 Ga. 470, 472-473 (2008); </w:t>
      </w:r>
      <w:r>
        <w:rPr>
          <w:i/>
        </w:rPr>
        <w:t>Wallace v. State</w:t>
      </w:r>
      <w:r>
        <w:t>, 303 Ga. 34, 40 (2018).</w:t>
      </w:r>
    </w:p>
  </w:endnote>
  <w:endnote w:id="15">
    <w:p w14:paraId="45C20097" w14:textId="77777777" w:rsidR="00120C56" w:rsidRPr="000D15E1" w:rsidRDefault="00120C56" w:rsidP="00120C56">
      <w:pPr>
        <w:pStyle w:val="EndnoteText"/>
      </w:pPr>
      <w:r>
        <w:rPr>
          <w:rStyle w:val="EndnoteReference"/>
        </w:rPr>
        <w:endnoteRef/>
      </w:r>
      <w:r>
        <w:t xml:space="preserve"> </w:t>
      </w:r>
      <w:r>
        <w:rPr>
          <w:i/>
        </w:rPr>
        <w:t>Wallace v. State</w:t>
      </w:r>
      <w:r>
        <w:t>, 303 Ga. 34, 40 (2018).</w:t>
      </w:r>
    </w:p>
  </w:endnote>
  <w:endnote w:id="16">
    <w:p w14:paraId="76167CC8" w14:textId="77777777" w:rsidR="00120C56" w:rsidRPr="003F08A4" w:rsidRDefault="00120C56" w:rsidP="00120C56">
      <w:pPr>
        <w:pStyle w:val="EndnoteText"/>
        <w:rPr>
          <w:szCs w:val="24"/>
        </w:rPr>
      </w:pPr>
      <w:r w:rsidRPr="007643E1">
        <w:rPr>
          <w:rStyle w:val="EndnoteReference"/>
          <w:szCs w:val="24"/>
        </w:rPr>
        <w:endnoteRef/>
      </w:r>
      <w:r w:rsidRPr="007643E1">
        <w:rPr>
          <w:szCs w:val="24"/>
        </w:rPr>
        <w:t xml:space="preserve"> </w:t>
      </w:r>
      <w:r w:rsidRPr="007643E1">
        <w:rPr>
          <w:i/>
          <w:szCs w:val="24"/>
        </w:rPr>
        <w:t>In re Long</w:t>
      </w:r>
      <w:r w:rsidRPr="007643E1">
        <w:rPr>
          <w:szCs w:val="24"/>
        </w:rPr>
        <w:t xml:space="preserve">, 276 Ga. App. 306 (2005); citing </w:t>
      </w:r>
      <w:r w:rsidRPr="007643E1">
        <w:rPr>
          <w:i/>
          <w:szCs w:val="24"/>
        </w:rPr>
        <w:t>King v. State</w:t>
      </w:r>
      <w:r w:rsidRPr="007643E1">
        <w:rPr>
          <w:szCs w:val="24"/>
        </w:rPr>
        <w:t xml:space="preserve">, 273 Ga. 258, 264-265 (2000) and </w:t>
      </w:r>
      <w:r w:rsidRPr="007643E1">
        <w:rPr>
          <w:i/>
          <w:szCs w:val="24"/>
        </w:rPr>
        <w:t>State v. Mosher</w:t>
      </w:r>
      <w:r w:rsidRPr="007643E1">
        <w:rPr>
          <w:szCs w:val="24"/>
        </w:rPr>
        <w:t>, 265 Ga. 666, 667 (1995).  These cases are all based upon the language of the immunity statute under Georgia’s old rules of evidence.</w:t>
      </w:r>
      <w:r>
        <w:rPr>
          <w:szCs w:val="24"/>
        </w:rPr>
        <w:t xml:space="preserve">  See </w:t>
      </w:r>
      <w:r>
        <w:rPr>
          <w:i/>
          <w:szCs w:val="24"/>
        </w:rPr>
        <w:t>Brown v. State</w:t>
      </w:r>
      <w:r>
        <w:rPr>
          <w:szCs w:val="24"/>
        </w:rPr>
        <w:t>, 295 Ga. 804, n.4 (2014) which held that the principles found in the former evidence code relating to immunity has been carried forward to the new evidence code and can be found at §24-5-507(a).</w:t>
      </w:r>
    </w:p>
  </w:endnote>
  <w:endnote w:id="17">
    <w:p w14:paraId="57BDFEDD" w14:textId="77777777" w:rsidR="00120C56" w:rsidRPr="007643E1" w:rsidRDefault="00120C56" w:rsidP="00120C56">
      <w:pPr>
        <w:pStyle w:val="EndnoteText"/>
        <w:rPr>
          <w:szCs w:val="24"/>
        </w:rPr>
      </w:pPr>
      <w:r w:rsidRPr="007643E1">
        <w:rPr>
          <w:rStyle w:val="EndnoteReference"/>
          <w:szCs w:val="24"/>
        </w:rPr>
        <w:endnoteRef/>
      </w:r>
      <w:r w:rsidRPr="007643E1">
        <w:rPr>
          <w:szCs w:val="24"/>
        </w:rPr>
        <w:t xml:space="preserve"> </w:t>
      </w:r>
      <w:r w:rsidRPr="007643E1">
        <w:rPr>
          <w:i/>
          <w:szCs w:val="24"/>
        </w:rPr>
        <w:t>In re Long</w:t>
      </w:r>
      <w:r w:rsidRPr="007643E1">
        <w:rPr>
          <w:szCs w:val="24"/>
        </w:rPr>
        <w:t>, 276 Ga. App. 306 (2005) construing the prior immunity statute under Georgia’s old rules of evidence.</w:t>
      </w:r>
    </w:p>
  </w:endnote>
  <w:endnote w:id="18">
    <w:p w14:paraId="50D80FDA" w14:textId="77777777" w:rsidR="0064750A" w:rsidRPr="00C66B53" w:rsidRDefault="0064750A" w:rsidP="0064750A">
      <w:pPr>
        <w:pStyle w:val="EndnoteText"/>
      </w:pPr>
      <w:r>
        <w:rPr>
          <w:rStyle w:val="EndnoteReference"/>
        </w:rPr>
        <w:endnoteRef/>
      </w:r>
      <w:r>
        <w:t xml:space="preserve"> </w:t>
      </w:r>
      <w:r>
        <w:rPr>
          <w:i/>
        </w:rPr>
        <w:t>Brown v. State</w:t>
      </w:r>
      <w:r>
        <w:t>, 295 Ga. 804, 811 (2014).</w:t>
      </w:r>
    </w:p>
  </w:endnote>
  <w:endnote w:id="19">
    <w:p w14:paraId="0BE50227" w14:textId="77777777" w:rsidR="0064750A" w:rsidRPr="00C66B53" w:rsidRDefault="0064750A" w:rsidP="0064750A">
      <w:pPr>
        <w:pStyle w:val="EndnoteText"/>
      </w:pPr>
      <w:r>
        <w:rPr>
          <w:rStyle w:val="EndnoteReference"/>
        </w:rPr>
        <w:endnoteRef/>
      </w:r>
      <w:r>
        <w:t xml:space="preserve"> </w:t>
      </w:r>
      <w:r>
        <w:rPr>
          <w:i/>
        </w:rPr>
        <w:t>Brown v. State</w:t>
      </w:r>
      <w:r>
        <w:t xml:space="preserve">, 295 Ga. 804, 811 (2011), citing </w:t>
      </w:r>
      <w:r>
        <w:rPr>
          <w:i/>
        </w:rPr>
        <w:t>Dennard v. State</w:t>
      </w:r>
      <w:r>
        <w:t>, 313 Ga. App. 419, 421 (2011).</w:t>
      </w:r>
    </w:p>
  </w:endnote>
  <w:endnote w:id="20">
    <w:p w14:paraId="4E44C99F" w14:textId="77777777" w:rsidR="0064750A" w:rsidRPr="007643E1" w:rsidRDefault="0064750A" w:rsidP="0064750A">
      <w:pPr>
        <w:pStyle w:val="EndnoteText"/>
        <w:rPr>
          <w:szCs w:val="24"/>
        </w:rPr>
      </w:pPr>
      <w:r w:rsidRPr="007643E1">
        <w:rPr>
          <w:rStyle w:val="EndnoteReference"/>
          <w:szCs w:val="24"/>
        </w:rPr>
        <w:endnoteRef/>
      </w:r>
      <w:r w:rsidRPr="007643E1">
        <w:rPr>
          <w:szCs w:val="24"/>
        </w:rPr>
        <w:t xml:space="preserve"> </w:t>
      </w:r>
      <w:r w:rsidRPr="007643E1">
        <w:rPr>
          <w:i/>
          <w:szCs w:val="24"/>
        </w:rPr>
        <w:t>In re S.U.</w:t>
      </w:r>
      <w:r w:rsidRPr="007643E1">
        <w:rPr>
          <w:szCs w:val="24"/>
        </w:rPr>
        <w:t>, 269 Ga. App. 306 (2004).</w:t>
      </w:r>
    </w:p>
  </w:endnote>
  <w:endnote w:id="21">
    <w:p w14:paraId="3FF7B0F4" w14:textId="77777777" w:rsidR="0064750A" w:rsidRPr="006522D2" w:rsidRDefault="0064750A" w:rsidP="0064750A">
      <w:pPr>
        <w:pStyle w:val="EndnoteText"/>
      </w:pPr>
      <w:r>
        <w:rPr>
          <w:rStyle w:val="EndnoteReference"/>
        </w:rPr>
        <w:endnoteRef/>
      </w:r>
      <w:r>
        <w:t xml:space="preserve"> </w:t>
      </w:r>
      <w:r>
        <w:rPr>
          <w:i/>
        </w:rPr>
        <w:t>Carlson v. Carlson</w:t>
      </w:r>
      <w:r>
        <w:t>, 324 Ga. App. 214 (2013).</w:t>
      </w:r>
    </w:p>
  </w:endnote>
  <w:endnote w:id="22">
    <w:p w14:paraId="1C4C5277" w14:textId="77777777" w:rsidR="0064750A" w:rsidRPr="007643E1" w:rsidRDefault="0064750A" w:rsidP="0064750A">
      <w:pPr>
        <w:pStyle w:val="EndnoteText"/>
        <w:rPr>
          <w:szCs w:val="24"/>
        </w:rPr>
      </w:pPr>
      <w:r w:rsidRPr="007643E1">
        <w:rPr>
          <w:rStyle w:val="EndnoteReference"/>
          <w:szCs w:val="24"/>
        </w:rPr>
        <w:endnoteRef/>
      </w:r>
      <w:r w:rsidRPr="007643E1">
        <w:rPr>
          <w:szCs w:val="24"/>
        </w:rPr>
        <w:t xml:space="preserve"> </w:t>
      </w:r>
      <w:r w:rsidRPr="007643E1">
        <w:rPr>
          <w:i/>
          <w:szCs w:val="24"/>
        </w:rPr>
        <w:t>Rashid v. State</w:t>
      </w:r>
      <w:r w:rsidRPr="007643E1">
        <w:rPr>
          <w:szCs w:val="24"/>
        </w:rPr>
        <w:t>, 292 Ga. 414, 417-418 (2013).</w:t>
      </w:r>
    </w:p>
  </w:endnote>
  <w:endnote w:id="23">
    <w:p w14:paraId="4C307AB1" w14:textId="77777777" w:rsidR="00FA1C87" w:rsidRPr="00F81D0D" w:rsidRDefault="00FA1C87" w:rsidP="00FA1C87">
      <w:pPr>
        <w:pStyle w:val="EndnoteText"/>
      </w:pPr>
      <w:r>
        <w:rPr>
          <w:rStyle w:val="EndnoteReference"/>
        </w:rPr>
        <w:endnoteRef/>
      </w:r>
      <w:r>
        <w:t xml:space="preserve"> </w:t>
      </w:r>
      <w:r w:rsidRPr="00F81D0D">
        <w:t xml:space="preserve">O.C.G.A. §24-8-801(d)(1)(A); §24-6-613; </w:t>
      </w:r>
      <w:r w:rsidRPr="00F81D0D">
        <w:rPr>
          <w:i/>
        </w:rPr>
        <w:t>Gibbons v. State</w:t>
      </w:r>
      <w:r w:rsidRPr="00F81D0D">
        <w:t xml:space="preserve">, 248 Ga. 858 (1982); </w:t>
      </w:r>
      <w:r w:rsidRPr="00F81D0D">
        <w:rPr>
          <w:i/>
        </w:rPr>
        <w:t>Andrews v. State</w:t>
      </w:r>
      <w:r w:rsidRPr="00F81D0D">
        <w:t>, 275 Ga. App. 426 (2005)</w:t>
      </w:r>
      <w:r>
        <w:t xml:space="preserve">; </w:t>
      </w:r>
      <w:r>
        <w:rPr>
          <w:i/>
        </w:rPr>
        <w:t>Meeks v. State</w:t>
      </w:r>
      <w:r>
        <w:t>, 281 Ga. App. 334, 336 (2006);</w:t>
      </w:r>
      <w:r>
        <w:rPr>
          <w:i/>
        </w:rPr>
        <w:t xml:space="preserve"> Robbins v. State</w:t>
      </w:r>
      <w:r>
        <w:t>, 300 Ga. 387, 391 (2016).</w:t>
      </w:r>
    </w:p>
  </w:endnote>
  <w:endnote w:id="24">
    <w:p w14:paraId="7ADFA925" w14:textId="77777777" w:rsidR="00FA1C87" w:rsidRPr="008908A6" w:rsidRDefault="00FA1C87" w:rsidP="00FA1C87">
      <w:pPr>
        <w:pStyle w:val="EndnoteText"/>
      </w:pPr>
      <w:r>
        <w:rPr>
          <w:rStyle w:val="EndnoteReference"/>
        </w:rPr>
        <w:endnoteRef/>
      </w:r>
      <w:r>
        <w:t xml:space="preserve"> </w:t>
      </w:r>
      <w:r>
        <w:rPr>
          <w:i/>
        </w:rPr>
        <w:t>Johnson v. State</w:t>
      </w:r>
      <w:r>
        <w:t xml:space="preserve">, 289 Ga. 106, 108 (2011), citing </w:t>
      </w:r>
      <w:r>
        <w:rPr>
          <w:i/>
        </w:rPr>
        <w:t>Cummings v. State</w:t>
      </w:r>
      <w:r>
        <w:t xml:space="preserve">, 280 Ga. 831, 833 (2006); </w:t>
      </w:r>
      <w:r>
        <w:rPr>
          <w:i/>
        </w:rPr>
        <w:t>Gober v. State</w:t>
      </w:r>
      <w:r>
        <w:t>, 300 Ga. App. 202, 203-204 (2009).</w:t>
      </w:r>
    </w:p>
  </w:endnote>
  <w:endnote w:id="25">
    <w:p w14:paraId="7168F044" w14:textId="77777777" w:rsidR="00FA1C87" w:rsidRDefault="00FA1C87" w:rsidP="00FA1C87">
      <w:pPr>
        <w:pStyle w:val="EndnoteText"/>
      </w:pPr>
      <w:r>
        <w:rPr>
          <w:rStyle w:val="EndnoteReference"/>
        </w:rPr>
        <w:endnoteRef/>
      </w:r>
      <w:r>
        <w:t xml:space="preserve"> </w:t>
      </w:r>
      <w:r w:rsidRPr="008908A6">
        <w:rPr>
          <w:i/>
        </w:rPr>
        <w:t>Spann v. State</w:t>
      </w:r>
      <w:r w:rsidRPr="008908A6">
        <w:t>, 248 Ga. App. 419, 421 (2001)</w:t>
      </w:r>
      <w:r>
        <w:t>.</w:t>
      </w:r>
    </w:p>
  </w:endnote>
  <w:endnote w:id="26">
    <w:p w14:paraId="61D65C68" w14:textId="77777777" w:rsidR="00FA1C87" w:rsidRPr="00680160" w:rsidRDefault="00FA1C87" w:rsidP="00FA1C87">
      <w:pPr>
        <w:pStyle w:val="EndnoteText"/>
      </w:pPr>
      <w:r>
        <w:rPr>
          <w:rStyle w:val="EndnoteReference"/>
        </w:rPr>
        <w:endnoteRef/>
      </w:r>
      <w:r>
        <w:t xml:space="preserve"> </w:t>
      </w:r>
      <w:r>
        <w:rPr>
          <w:i/>
        </w:rPr>
        <w:t>Wilson v. State</w:t>
      </w:r>
      <w:r>
        <w:t>, 286 Ga. 141, 142-143 (2009).</w:t>
      </w:r>
    </w:p>
  </w:endnote>
  <w:endnote w:id="27">
    <w:p w14:paraId="77A3FDC9" w14:textId="77777777" w:rsidR="00FA1C87" w:rsidRPr="00550920" w:rsidRDefault="00FA1C87" w:rsidP="00FA1C87">
      <w:pPr>
        <w:pStyle w:val="EndnoteText"/>
      </w:pPr>
      <w:r>
        <w:rPr>
          <w:rStyle w:val="EndnoteReference"/>
        </w:rPr>
        <w:endnoteRef/>
      </w:r>
      <w:r>
        <w:t xml:space="preserve"> </w:t>
      </w:r>
      <w:r>
        <w:rPr>
          <w:i/>
        </w:rPr>
        <w:t>Johnson v. State</w:t>
      </w:r>
      <w:r>
        <w:t>, 289 Ga. 106, 108 (2011).</w:t>
      </w:r>
    </w:p>
  </w:endnote>
  <w:endnote w:id="28">
    <w:p w14:paraId="694BF975" w14:textId="77777777" w:rsidR="00FA1C87" w:rsidRPr="00945923" w:rsidRDefault="00FA1C87" w:rsidP="00FA1C87">
      <w:pPr>
        <w:pStyle w:val="EndnoteText"/>
      </w:pPr>
      <w:r>
        <w:rPr>
          <w:rStyle w:val="EndnoteReference"/>
        </w:rPr>
        <w:endnoteRef/>
      </w:r>
      <w:r>
        <w:t xml:space="preserve"> </w:t>
      </w:r>
      <w:r>
        <w:rPr>
          <w:i/>
        </w:rPr>
        <w:t>Barksdale v. State</w:t>
      </w:r>
      <w:r>
        <w:t xml:space="preserve">, 265 Ga. 9, 11 (1995); </w:t>
      </w:r>
      <w:r>
        <w:rPr>
          <w:i/>
        </w:rPr>
        <w:t>Soto v. State</w:t>
      </w:r>
      <w:r>
        <w:t xml:space="preserve">, 285 Ga. 367, 370 (2009); </w:t>
      </w:r>
      <w:r>
        <w:rPr>
          <w:i/>
        </w:rPr>
        <w:t>Crawford v. Washington</w:t>
      </w:r>
      <w:r>
        <w:t xml:space="preserve">, 541 U.S. 36, (2004); </w:t>
      </w:r>
      <w:r>
        <w:rPr>
          <w:i/>
        </w:rPr>
        <w:t>Jackson v. State</w:t>
      </w:r>
      <w:r>
        <w:t>, 291 Ga. 22, 24 (2012).</w:t>
      </w:r>
    </w:p>
  </w:endnote>
  <w:endnote w:id="29">
    <w:p w14:paraId="22ADFE02" w14:textId="77777777" w:rsidR="00FA1C87" w:rsidRDefault="00FA1C87" w:rsidP="00FA1C87">
      <w:pPr>
        <w:pStyle w:val="EndnoteText"/>
      </w:pPr>
      <w:r>
        <w:rPr>
          <w:rStyle w:val="EndnoteReference"/>
        </w:rPr>
        <w:endnoteRef/>
      </w:r>
      <w:r>
        <w:t xml:space="preserve"> </w:t>
      </w:r>
      <w:r w:rsidRPr="00945923">
        <w:rPr>
          <w:i/>
        </w:rPr>
        <w:t>Soto v. State</w:t>
      </w:r>
      <w:r w:rsidRPr="00945923">
        <w:t xml:space="preserve">, 285 Ga. 367, 368 (2009); citing </w:t>
      </w:r>
      <w:r w:rsidRPr="00945923">
        <w:rPr>
          <w:i/>
        </w:rPr>
        <w:t>Smith v. State</w:t>
      </w:r>
      <w:r w:rsidRPr="00945923">
        <w:t xml:space="preserve">, 225 Ga. 328, 331 (1969); </w:t>
      </w:r>
      <w:r w:rsidRPr="00945923">
        <w:rPr>
          <w:i/>
        </w:rPr>
        <w:t>Johnson v. State</w:t>
      </w:r>
      <w:r w:rsidRPr="00945923">
        <w:t>, 287 Ga. 767, 769 (2010).</w:t>
      </w:r>
    </w:p>
  </w:endnote>
  <w:endnote w:id="30">
    <w:p w14:paraId="07F659EA" w14:textId="77777777" w:rsidR="00FA1C87" w:rsidRDefault="00FA1C87" w:rsidP="00FA1C87">
      <w:pPr>
        <w:pStyle w:val="EndnoteText"/>
      </w:pPr>
      <w:r>
        <w:rPr>
          <w:rStyle w:val="EndnoteReference"/>
        </w:rPr>
        <w:endnoteRef/>
      </w:r>
      <w:r>
        <w:t xml:space="preserve"> </w:t>
      </w:r>
      <w:r w:rsidRPr="003A083C">
        <w:t>O.C.G.A. §</w:t>
      </w:r>
      <w:r>
        <w:t xml:space="preserve"> 24-6-607.</w:t>
      </w:r>
    </w:p>
  </w:endnote>
  <w:endnote w:id="31">
    <w:p w14:paraId="032B1DF8" w14:textId="79B3D583" w:rsidR="001F3B36" w:rsidRPr="001F3B36" w:rsidRDefault="001F3B36">
      <w:pPr>
        <w:pStyle w:val="EndnoteText"/>
      </w:pPr>
      <w:r>
        <w:rPr>
          <w:rStyle w:val="EndnoteReference"/>
        </w:rPr>
        <w:endnoteRef/>
      </w:r>
      <w:r>
        <w:t xml:space="preserve"> </w:t>
      </w:r>
      <w:r>
        <w:rPr>
          <w:i/>
          <w:iCs/>
        </w:rPr>
        <w:t>Horne v. State</w:t>
      </w:r>
      <w:r>
        <w:t>, 281 Ga. 799, 808 (2007).</w:t>
      </w:r>
    </w:p>
  </w:endnote>
  <w:endnote w:id="32">
    <w:p w14:paraId="00BDDD6B" w14:textId="57DE21FC" w:rsidR="00EE0BBC" w:rsidRPr="00EE0BBC" w:rsidRDefault="00EE0BBC">
      <w:pPr>
        <w:pStyle w:val="EndnoteText"/>
      </w:pPr>
      <w:r>
        <w:rPr>
          <w:rStyle w:val="EndnoteReference"/>
        </w:rPr>
        <w:endnoteRef/>
      </w:r>
      <w:r>
        <w:t xml:space="preserve"> </w:t>
      </w:r>
      <w:r>
        <w:rPr>
          <w:i/>
          <w:iCs/>
        </w:rPr>
        <w:t>Horne</w:t>
      </w:r>
      <w:r>
        <w:t>, at 807-808.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304D" w14:textId="77777777" w:rsidR="00810304" w:rsidRDefault="0081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3CA" w14:textId="77777777" w:rsidR="00064D0B" w:rsidRDefault="00064D0B" w:rsidP="00C527D7">
    <w:pPr>
      <w:pStyle w:val="Footer"/>
      <w:tabs>
        <w:tab w:val="clear" w:pos="4680"/>
        <w:tab w:val="clear" w:pos="9360"/>
      </w:tabs>
      <w:jc w:val="center"/>
      <w:rPr>
        <w:b/>
        <w:bCs/>
        <w:sz w:val="20"/>
        <w:szCs w:val="20"/>
      </w:rPr>
    </w:pPr>
  </w:p>
  <w:p w14:paraId="4B16A50F" w14:textId="6D3A81A1" w:rsidR="00320BA2" w:rsidRDefault="00810304" w:rsidP="00C527D7">
    <w:pPr>
      <w:pStyle w:val="Footer"/>
      <w:tabs>
        <w:tab w:val="clear" w:pos="4680"/>
        <w:tab w:val="clear" w:pos="9360"/>
      </w:tabs>
      <w:jc w:val="center"/>
      <w:rPr>
        <w:b/>
        <w:bCs/>
        <w:sz w:val="20"/>
        <w:szCs w:val="20"/>
      </w:rPr>
    </w:pPr>
    <w:r>
      <w:rPr>
        <w:b/>
        <w:bCs/>
        <w:sz w:val="20"/>
        <w:szCs w:val="20"/>
      </w:rPr>
      <w:t>RECALCITRANT WITNESS</w:t>
    </w:r>
    <w:r w:rsidR="00831FEF" w:rsidRPr="00D47131">
      <w:rPr>
        <w:b/>
        <w:bCs/>
        <w:sz w:val="20"/>
        <w:szCs w:val="20"/>
      </w:rPr>
      <w:t xml:space="preserve"> </w:t>
    </w:r>
    <w:r w:rsidR="00831FEF">
      <w:rPr>
        <w:b/>
        <w:bCs/>
        <w:sz w:val="20"/>
        <w:szCs w:val="20"/>
      </w:rPr>
      <w:t>- EPISODE NOTES</w:t>
    </w:r>
    <w:r w:rsidR="004D4931">
      <w:rPr>
        <w:b/>
        <w:bCs/>
        <w:sz w:val="20"/>
        <w:szCs w:val="20"/>
      </w:rPr>
      <w:t xml:space="preserve"> </w:t>
    </w:r>
  </w:p>
  <w:p w14:paraId="3EC713CE" w14:textId="00DB82B5" w:rsidR="00320BA2" w:rsidRPr="00DB0007" w:rsidRDefault="000B158F" w:rsidP="00C527D7">
    <w:pPr>
      <w:pStyle w:val="Footer"/>
      <w:tabs>
        <w:tab w:val="clear" w:pos="4680"/>
        <w:tab w:val="clear" w:pos="9360"/>
      </w:tabs>
      <w:jc w:val="center"/>
      <w:rPr>
        <w:b/>
        <w:bCs/>
        <w:sz w:val="20"/>
        <w:szCs w:val="20"/>
      </w:rPr>
    </w:pPr>
    <w:r>
      <w:rPr>
        <w:b/>
        <w:bCs/>
        <w:sz w:val="20"/>
        <w:szCs w:val="20"/>
      </w:rPr>
      <w:t>RECORDED 1</w:t>
    </w:r>
    <w:r w:rsidR="00810304">
      <w:rPr>
        <w:b/>
        <w:bCs/>
        <w:sz w:val="20"/>
        <w:szCs w:val="20"/>
      </w:rPr>
      <w:t>/4/2024</w:t>
    </w:r>
  </w:p>
  <w:p w14:paraId="764F9A21" w14:textId="60F76B3B" w:rsidR="00320BA2" w:rsidRDefault="00274D1E"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FB3481">
      <w:rPr>
        <w:b/>
        <w:bCs/>
        <w:noProof/>
        <w:sz w:val="20"/>
        <w:szCs w:val="20"/>
      </w:rPr>
      <w:t>13</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FB3481">
      <w:rPr>
        <w:b/>
        <w:bCs/>
        <w:noProof/>
        <w:sz w:val="20"/>
        <w:szCs w:val="20"/>
      </w:rPr>
      <w:t>14</w:t>
    </w:r>
    <w:r w:rsidRPr="00DB0007">
      <w:rPr>
        <w:b/>
        <w:bCs/>
        <w:sz w:val="20"/>
        <w:szCs w:val="20"/>
      </w:rPr>
      <w:fldChar w:fldCharType="end"/>
    </w:r>
  </w:p>
  <w:p w14:paraId="66D8CB16" w14:textId="77777777" w:rsidR="00320BA2" w:rsidRDefault="00320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BA1A" w14:textId="77777777" w:rsidR="00810304" w:rsidRDefault="0081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56C0" w14:textId="77777777" w:rsidR="00255ACC" w:rsidRDefault="00255ACC" w:rsidP="00A52F35">
      <w:r>
        <w:separator/>
      </w:r>
    </w:p>
  </w:footnote>
  <w:footnote w:type="continuationSeparator" w:id="0">
    <w:p w14:paraId="159E0D61" w14:textId="77777777" w:rsidR="00255ACC" w:rsidRDefault="00255ACC" w:rsidP="00A5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BA76" w14:textId="77777777" w:rsidR="00810304" w:rsidRDefault="00810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4649" w14:textId="77777777" w:rsidR="00810304" w:rsidRDefault="00810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5BE3" w14:textId="77777777" w:rsidR="00810304" w:rsidRDefault="00810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01" style="width:0;height:1.5pt" o:hralign="center" o:bullet="t" o:hrstd="t" o:hr="t" fillcolor="#a0a0a0" stroked="f"/>
    </w:pict>
  </w:numPicBullet>
  <w:numPicBullet w:numPicBulletId="1">
    <w:pict>
      <v:rect id="_x0000_i1302" style="width:0;height:1.5pt" o:hralign="center" o:bullet="t" o:hrstd="t" o:hr="t" fillcolor="#a0a0a0" stroked="f"/>
    </w:pict>
  </w:numPicBullet>
  <w:numPicBullet w:numPicBulletId="2">
    <w:pict>
      <v:rect id="_x0000_i1303" style="width:0;height:1.5pt" o:hralign="center" o:bullet="t" o:hrstd="t" o:hr="t" fillcolor="#a0a0a0" stroked="f"/>
    </w:pict>
  </w:numPicBullet>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C87"/>
    <w:multiLevelType w:val="hybridMultilevel"/>
    <w:tmpl w:val="408E1B86"/>
    <w:lvl w:ilvl="0" w:tplc="D86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03088"/>
    <w:multiLevelType w:val="hybridMultilevel"/>
    <w:tmpl w:val="971EDA14"/>
    <w:lvl w:ilvl="0" w:tplc="E710D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BC6"/>
    <w:multiLevelType w:val="hybridMultilevel"/>
    <w:tmpl w:val="8040A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52644"/>
    <w:multiLevelType w:val="hybridMultilevel"/>
    <w:tmpl w:val="A6FA7858"/>
    <w:lvl w:ilvl="0" w:tplc="4D004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84038"/>
    <w:multiLevelType w:val="hybridMultilevel"/>
    <w:tmpl w:val="8070B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D5D6A"/>
    <w:multiLevelType w:val="hybridMultilevel"/>
    <w:tmpl w:val="AF002C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22289"/>
    <w:multiLevelType w:val="hybridMultilevel"/>
    <w:tmpl w:val="49E66CA2"/>
    <w:lvl w:ilvl="0" w:tplc="A088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AF0A31"/>
    <w:multiLevelType w:val="hybridMultilevel"/>
    <w:tmpl w:val="44E44B5C"/>
    <w:lvl w:ilvl="0" w:tplc="A10E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2C4EDC"/>
    <w:multiLevelType w:val="hybridMultilevel"/>
    <w:tmpl w:val="5E7C47FE"/>
    <w:lvl w:ilvl="0" w:tplc="7232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3487C"/>
    <w:multiLevelType w:val="hybridMultilevel"/>
    <w:tmpl w:val="1760055E"/>
    <w:lvl w:ilvl="0" w:tplc="FC9A4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1B791A"/>
    <w:multiLevelType w:val="hybridMultilevel"/>
    <w:tmpl w:val="5ECE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368BA"/>
    <w:multiLevelType w:val="hybridMultilevel"/>
    <w:tmpl w:val="E7068CC2"/>
    <w:lvl w:ilvl="0" w:tplc="2D84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868386">
    <w:abstractNumId w:val="7"/>
  </w:num>
  <w:num w:numId="2" w16cid:durableId="1622960393">
    <w:abstractNumId w:val="14"/>
  </w:num>
  <w:num w:numId="3" w16cid:durableId="658315714">
    <w:abstractNumId w:val="0"/>
  </w:num>
  <w:num w:numId="4" w16cid:durableId="1490708132">
    <w:abstractNumId w:val="18"/>
  </w:num>
  <w:num w:numId="5" w16cid:durableId="756440862">
    <w:abstractNumId w:val="8"/>
  </w:num>
  <w:num w:numId="6" w16cid:durableId="1451777704">
    <w:abstractNumId w:val="6"/>
  </w:num>
  <w:num w:numId="7" w16cid:durableId="61412753">
    <w:abstractNumId w:val="3"/>
  </w:num>
  <w:num w:numId="8" w16cid:durableId="1077363739">
    <w:abstractNumId w:val="1"/>
  </w:num>
  <w:num w:numId="9" w16cid:durableId="1200972304">
    <w:abstractNumId w:val="5"/>
  </w:num>
  <w:num w:numId="10" w16cid:durableId="1353727842">
    <w:abstractNumId w:val="17"/>
  </w:num>
  <w:num w:numId="11" w16cid:durableId="1418477364">
    <w:abstractNumId w:val="12"/>
  </w:num>
  <w:num w:numId="12" w16cid:durableId="141586923">
    <w:abstractNumId w:val="13"/>
  </w:num>
  <w:num w:numId="13" w16cid:durableId="1218276897">
    <w:abstractNumId w:val="9"/>
  </w:num>
  <w:num w:numId="14" w16cid:durableId="568269976">
    <w:abstractNumId w:val="4"/>
  </w:num>
  <w:num w:numId="15" w16cid:durableId="268052145">
    <w:abstractNumId w:val="11"/>
  </w:num>
  <w:num w:numId="16" w16cid:durableId="1765763077">
    <w:abstractNumId w:val="16"/>
  </w:num>
  <w:num w:numId="17" w16cid:durableId="1058479224">
    <w:abstractNumId w:val="15"/>
  </w:num>
  <w:num w:numId="18" w16cid:durableId="1105929304">
    <w:abstractNumId w:val="2"/>
  </w:num>
  <w:num w:numId="19" w16cid:durableId="1927423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31"/>
    <w:rsid w:val="00003FEF"/>
    <w:rsid w:val="0003237A"/>
    <w:rsid w:val="00035BC6"/>
    <w:rsid w:val="00037707"/>
    <w:rsid w:val="000528C2"/>
    <w:rsid w:val="000565B6"/>
    <w:rsid w:val="00056659"/>
    <w:rsid w:val="00057C8A"/>
    <w:rsid w:val="00060117"/>
    <w:rsid w:val="00064D0B"/>
    <w:rsid w:val="0006688C"/>
    <w:rsid w:val="00075942"/>
    <w:rsid w:val="0008374E"/>
    <w:rsid w:val="00095A32"/>
    <w:rsid w:val="000A1DDE"/>
    <w:rsid w:val="000A6451"/>
    <w:rsid w:val="000B158F"/>
    <w:rsid w:val="000B3423"/>
    <w:rsid w:val="000B359D"/>
    <w:rsid w:val="000B6B05"/>
    <w:rsid w:val="000D63FE"/>
    <w:rsid w:val="000E2E99"/>
    <w:rsid w:val="000E44AC"/>
    <w:rsid w:val="000F2531"/>
    <w:rsid w:val="000F5565"/>
    <w:rsid w:val="000F74EE"/>
    <w:rsid w:val="0010409A"/>
    <w:rsid w:val="00104359"/>
    <w:rsid w:val="0010455C"/>
    <w:rsid w:val="001052C2"/>
    <w:rsid w:val="001054CD"/>
    <w:rsid w:val="00120C56"/>
    <w:rsid w:val="001504C0"/>
    <w:rsid w:val="001523D8"/>
    <w:rsid w:val="00170D82"/>
    <w:rsid w:val="00177945"/>
    <w:rsid w:val="00180A05"/>
    <w:rsid w:val="001848CC"/>
    <w:rsid w:val="001A442C"/>
    <w:rsid w:val="001B123F"/>
    <w:rsid w:val="001C36B8"/>
    <w:rsid w:val="001E223E"/>
    <w:rsid w:val="001E4061"/>
    <w:rsid w:val="001F08A8"/>
    <w:rsid w:val="001F1400"/>
    <w:rsid w:val="001F3B36"/>
    <w:rsid w:val="00211DD2"/>
    <w:rsid w:val="00216441"/>
    <w:rsid w:val="00220838"/>
    <w:rsid w:val="00224A03"/>
    <w:rsid w:val="002358D9"/>
    <w:rsid w:val="002406B5"/>
    <w:rsid w:val="0024265A"/>
    <w:rsid w:val="00255ACC"/>
    <w:rsid w:val="00255FBC"/>
    <w:rsid w:val="00264085"/>
    <w:rsid w:val="0026587A"/>
    <w:rsid w:val="00265AE4"/>
    <w:rsid w:val="002672C0"/>
    <w:rsid w:val="002708B0"/>
    <w:rsid w:val="00274D1E"/>
    <w:rsid w:val="002764A9"/>
    <w:rsid w:val="00276C1B"/>
    <w:rsid w:val="0028040A"/>
    <w:rsid w:val="00281A13"/>
    <w:rsid w:val="00292514"/>
    <w:rsid w:val="002C1F81"/>
    <w:rsid w:val="002C3EBC"/>
    <w:rsid w:val="002D73D0"/>
    <w:rsid w:val="002E0E05"/>
    <w:rsid w:val="002E2A6C"/>
    <w:rsid w:val="002E2B0D"/>
    <w:rsid w:val="002E6A62"/>
    <w:rsid w:val="002F3A9B"/>
    <w:rsid w:val="00310B19"/>
    <w:rsid w:val="003115FB"/>
    <w:rsid w:val="00314863"/>
    <w:rsid w:val="00320BA2"/>
    <w:rsid w:val="00324543"/>
    <w:rsid w:val="00326B9C"/>
    <w:rsid w:val="003518BE"/>
    <w:rsid w:val="00353401"/>
    <w:rsid w:val="00376D12"/>
    <w:rsid w:val="00377C23"/>
    <w:rsid w:val="003807F3"/>
    <w:rsid w:val="003820C0"/>
    <w:rsid w:val="003A43D9"/>
    <w:rsid w:val="003B17E0"/>
    <w:rsid w:val="003B5A91"/>
    <w:rsid w:val="003D0441"/>
    <w:rsid w:val="003D0A1C"/>
    <w:rsid w:val="003E23E0"/>
    <w:rsid w:val="003E502A"/>
    <w:rsid w:val="003E6485"/>
    <w:rsid w:val="0040045E"/>
    <w:rsid w:val="00410F25"/>
    <w:rsid w:val="00425248"/>
    <w:rsid w:val="00427232"/>
    <w:rsid w:val="004276C0"/>
    <w:rsid w:val="004456E6"/>
    <w:rsid w:val="00447CA1"/>
    <w:rsid w:val="0045044F"/>
    <w:rsid w:val="004803DD"/>
    <w:rsid w:val="00482439"/>
    <w:rsid w:val="004869C1"/>
    <w:rsid w:val="004924FB"/>
    <w:rsid w:val="004B503B"/>
    <w:rsid w:val="004D0BDC"/>
    <w:rsid w:val="004D4931"/>
    <w:rsid w:val="004D6CF7"/>
    <w:rsid w:val="004F0756"/>
    <w:rsid w:val="00511361"/>
    <w:rsid w:val="0052076D"/>
    <w:rsid w:val="0052530D"/>
    <w:rsid w:val="005273E6"/>
    <w:rsid w:val="005329E3"/>
    <w:rsid w:val="00541E63"/>
    <w:rsid w:val="0054544B"/>
    <w:rsid w:val="00554A8B"/>
    <w:rsid w:val="00562A35"/>
    <w:rsid w:val="005670B8"/>
    <w:rsid w:val="005725FA"/>
    <w:rsid w:val="00573E68"/>
    <w:rsid w:val="00592F0B"/>
    <w:rsid w:val="00596FF9"/>
    <w:rsid w:val="005A0657"/>
    <w:rsid w:val="005A35AE"/>
    <w:rsid w:val="005A69B7"/>
    <w:rsid w:val="005B2AAC"/>
    <w:rsid w:val="005B3164"/>
    <w:rsid w:val="005C3800"/>
    <w:rsid w:val="005D034A"/>
    <w:rsid w:val="005D20DD"/>
    <w:rsid w:val="005D4D9F"/>
    <w:rsid w:val="005D7F62"/>
    <w:rsid w:val="005E7419"/>
    <w:rsid w:val="005F109F"/>
    <w:rsid w:val="005F1628"/>
    <w:rsid w:val="005F2887"/>
    <w:rsid w:val="0060514B"/>
    <w:rsid w:val="0061670A"/>
    <w:rsid w:val="00627C6B"/>
    <w:rsid w:val="0063163C"/>
    <w:rsid w:val="00633CCD"/>
    <w:rsid w:val="00636405"/>
    <w:rsid w:val="006367DC"/>
    <w:rsid w:val="00636F98"/>
    <w:rsid w:val="0064750A"/>
    <w:rsid w:val="00651055"/>
    <w:rsid w:val="006524D4"/>
    <w:rsid w:val="00685BE4"/>
    <w:rsid w:val="006A236B"/>
    <w:rsid w:val="006A4D3A"/>
    <w:rsid w:val="006B3477"/>
    <w:rsid w:val="006B6507"/>
    <w:rsid w:val="006C5503"/>
    <w:rsid w:val="006D0F96"/>
    <w:rsid w:val="006D68E0"/>
    <w:rsid w:val="006E5153"/>
    <w:rsid w:val="006F65A7"/>
    <w:rsid w:val="00716E44"/>
    <w:rsid w:val="0072193B"/>
    <w:rsid w:val="007259FE"/>
    <w:rsid w:val="007359EE"/>
    <w:rsid w:val="00752541"/>
    <w:rsid w:val="00756130"/>
    <w:rsid w:val="007624DE"/>
    <w:rsid w:val="00763690"/>
    <w:rsid w:val="00773B54"/>
    <w:rsid w:val="00776F4B"/>
    <w:rsid w:val="00777C65"/>
    <w:rsid w:val="007835FF"/>
    <w:rsid w:val="0079655E"/>
    <w:rsid w:val="007969F6"/>
    <w:rsid w:val="007A7B2B"/>
    <w:rsid w:val="007B06BD"/>
    <w:rsid w:val="007B0CF3"/>
    <w:rsid w:val="007B786F"/>
    <w:rsid w:val="007C078D"/>
    <w:rsid w:val="007C212F"/>
    <w:rsid w:val="007C3BA0"/>
    <w:rsid w:val="007D720F"/>
    <w:rsid w:val="007E03AF"/>
    <w:rsid w:val="007E60C0"/>
    <w:rsid w:val="007F161E"/>
    <w:rsid w:val="007F70C6"/>
    <w:rsid w:val="00801AB0"/>
    <w:rsid w:val="00810304"/>
    <w:rsid w:val="008138CD"/>
    <w:rsid w:val="00823457"/>
    <w:rsid w:val="00827A30"/>
    <w:rsid w:val="00831FEF"/>
    <w:rsid w:val="008344B8"/>
    <w:rsid w:val="0084669B"/>
    <w:rsid w:val="008474F7"/>
    <w:rsid w:val="00851817"/>
    <w:rsid w:val="008602E1"/>
    <w:rsid w:val="00861E53"/>
    <w:rsid w:val="00871F93"/>
    <w:rsid w:val="00887092"/>
    <w:rsid w:val="00892CB8"/>
    <w:rsid w:val="0089640F"/>
    <w:rsid w:val="00896D66"/>
    <w:rsid w:val="008A228F"/>
    <w:rsid w:val="008A5459"/>
    <w:rsid w:val="008A7F0D"/>
    <w:rsid w:val="008C3758"/>
    <w:rsid w:val="008D58A4"/>
    <w:rsid w:val="008E0F92"/>
    <w:rsid w:val="008F22C8"/>
    <w:rsid w:val="008F668A"/>
    <w:rsid w:val="00905B57"/>
    <w:rsid w:val="009107B2"/>
    <w:rsid w:val="00916422"/>
    <w:rsid w:val="009218E4"/>
    <w:rsid w:val="00924ABD"/>
    <w:rsid w:val="00932F2C"/>
    <w:rsid w:val="00936D81"/>
    <w:rsid w:val="009472C6"/>
    <w:rsid w:val="00951BDC"/>
    <w:rsid w:val="00951DAC"/>
    <w:rsid w:val="009559EE"/>
    <w:rsid w:val="009801CE"/>
    <w:rsid w:val="009839C3"/>
    <w:rsid w:val="0098464C"/>
    <w:rsid w:val="009A31B9"/>
    <w:rsid w:val="009A68F9"/>
    <w:rsid w:val="009B6861"/>
    <w:rsid w:val="009E011A"/>
    <w:rsid w:val="009E786C"/>
    <w:rsid w:val="00A059F1"/>
    <w:rsid w:val="00A07E1A"/>
    <w:rsid w:val="00A11B17"/>
    <w:rsid w:val="00A11F70"/>
    <w:rsid w:val="00A25DDB"/>
    <w:rsid w:val="00A27AD2"/>
    <w:rsid w:val="00A3766F"/>
    <w:rsid w:val="00A41B27"/>
    <w:rsid w:val="00A443C0"/>
    <w:rsid w:val="00A526B9"/>
    <w:rsid w:val="00A52D92"/>
    <w:rsid w:val="00A52F35"/>
    <w:rsid w:val="00A602D7"/>
    <w:rsid w:val="00A63DA8"/>
    <w:rsid w:val="00A65A34"/>
    <w:rsid w:val="00A66213"/>
    <w:rsid w:val="00A67602"/>
    <w:rsid w:val="00A84EA9"/>
    <w:rsid w:val="00A87877"/>
    <w:rsid w:val="00A977D3"/>
    <w:rsid w:val="00AB0F85"/>
    <w:rsid w:val="00AD6B8F"/>
    <w:rsid w:val="00AE4B84"/>
    <w:rsid w:val="00AE7147"/>
    <w:rsid w:val="00AF002B"/>
    <w:rsid w:val="00AF0975"/>
    <w:rsid w:val="00AF77CB"/>
    <w:rsid w:val="00B015F9"/>
    <w:rsid w:val="00B01F28"/>
    <w:rsid w:val="00B146E1"/>
    <w:rsid w:val="00B17AAF"/>
    <w:rsid w:val="00B3052C"/>
    <w:rsid w:val="00B355CB"/>
    <w:rsid w:val="00B429EB"/>
    <w:rsid w:val="00B65853"/>
    <w:rsid w:val="00B670BE"/>
    <w:rsid w:val="00B7006F"/>
    <w:rsid w:val="00B72383"/>
    <w:rsid w:val="00B81678"/>
    <w:rsid w:val="00BA13FD"/>
    <w:rsid w:val="00BB4ABC"/>
    <w:rsid w:val="00BC0835"/>
    <w:rsid w:val="00BC0F3E"/>
    <w:rsid w:val="00BD7D6A"/>
    <w:rsid w:val="00BE022B"/>
    <w:rsid w:val="00BE35E7"/>
    <w:rsid w:val="00BE425E"/>
    <w:rsid w:val="00BF238D"/>
    <w:rsid w:val="00BF5C94"/>
    <w:rsid w:val="00C1168E"/>
    <w:rsid w:val="00C24957"/>
    <w:rsid w:val="00C2700B"/>
    <w:rsid w:val="00C27E00"/>
    <w:rsid w:val="00C309A1"/>
    <w:rsid w:val="00C356F8"/>
    <w:rsid w:val="00C50CDC"/>
    <w:rsid w:val="00C57358"/>
    <w:rsid w:val="00C6077C"/>
    <w:rsid w:val="00C672A3"/>
    <w:rsid w:val="00C67E3A"/>
    <w:rsid w:val="00C71331"/>
    <w:rsid w:val="00C719F6"/>
    <w:rsid w:val="00C741C4"/>
    <w:rsid w:val="00C7794E"/>
    <w:rsid w:val="00C77DC5"/>
    <w:rsid w:val="00C80E52"/>
    <w:rsid w:val="00C82FFC"/>
    <w:rsid w:val="00C84D17"/>
    <w:rsid w:val="00C87635"/>
    <w:rsid w:val="00C9198F"/>
    <w:rsid w:val="00CA08DF"/>
    <w:rsid w:val="00CA160F"/>
    <w:rsid w:val="00CA5636"/>
    <w:rsid w:val="00CA7A2F"/>
    <w:rsid w:val="00CB24AC"/>
    <w:rsid w:val="00CC4ED3"/>
    <w:rsid w:val="00CD072C"/>
    <w:rsid w:val="00CD0F8A"/>
    <w:rsid w:val="00CD4FB6"/>
    <w:rsid w:val="00CF1BBC"/>
    <w:rsid w:val="00D023EA"/>
    <w:rsid w:val="00D172C2"/>
    <w:rsid w:val="00D20AE9"/>
    <w:rsid w:val="00D52C92"/>
    <w:rsid w:val="00D57448"/>
    <w:rsid w:val="00D67C29"/>
    <w:rsid w:val="00D81984"/>
    <w:rsid w:val="00D93D8C"/>
    <w:rsid w:val="00D959C7"/>
    <w:rsid w:val="00DC02E1"/>
    <w:rsid w:val="00DC3080"/>
    <w:rsid w:val="00DC7FAB"/>
    <w:rsid w:val="00DD19CD"/>
    <w:rsid w:val="00DE5597"/>
    <w:rsid w:val="00DF1472"/>
    <w:rsid w:val="00E078AF"/>
    <w:rsid w:val="00E104BE"/>
    <w:rsid w:val="00E20396"/>
    <w:rsid w:val="00E33651"/>
    <w:rsid w:val="00E36009"/>
    <w:rsid w:val="00E40330"/>
    <w:rsid w:val="00E436B0"/>
    <w:rsid w:val="00E44F01"/>
    <w:rsid w:val="00E51C31"/>
    <w:rsid w:val="00E809A6"/>
    <w:rsid w:val="00E87EC1"/>
    <w:rsid w:val="00E942AC"/>
    <w:rsid w:val="00E96B77"/>
    <w:rsid w:val="00E96E0E"/>
    <w:rsid w:val="00EA0BDB"/>
    <w:rsid w:val="00EB12E3"/>
    <w:rsid w:val="00EB19D2"/>
    <w:rsid w:val="00EB26AA"/>
    <w:rsid w:val="00EB6F7E"/>
    <w:rsid w:val="00ED08FC"/>
    <w:rsid w:val="00ED09FF"/>
    <w:rsid w:val="00ED1CC6"/>
    <w:rsid w:val="00ED2E8D"/>
    <w:rsid w:val="00EE0BBC"/>
    <w:rsid w:val="00EE4C8F"/>
    <w:rsid w:val="00EF3992"/>
    <w:rsid w:val="00EF7771"/>
    <w:rsid w:val="00F13A7D"/>
    <w:rsid w:val="00F274C7"/>
    <w:rsid w:val="00F44F20"/>
    <w:rsid w:val="00F5101A"/>
    <w:rsid w:val="00F52DD8"/>
    <w:rsid w:val="00F5780E"/>
    <w:rsid w:val="00F62034"/>
    <w:rsid w:val="00F84D17"/>
    <w:rsid w:val="00FA02EB"/>
    <w:rsid w:val="00FA1C87"/>
    <w:rsid w:val="00FA73A3"/>
    <w:rsid w:val="00FB3481"/>
    <w:rsid w:val="00FC7551"/>
    <w:rsid w:val="00FD5DB3"/>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ndnote Text 12"/>
    <w:basedOn w:val="Normal"/>
    <w:link w:val="EndnoteTextChar"/>
    <w:unhideWhenUsed/>
    <w:qFormat/>
    <w:rsid w:val="00AE7147"/>
    <w:pPr>
      <w:spacing w:line="276" w:lineRule="auto"/>
      <w:ind w:left="720" w:hanging="720"/>
    </w:pPr>
    <w:rPr>
      <w:szCs w:val="20"/>
    </w:rPr>
  </w:style>
  <w:style w:type="character" w:customStyle="1" w:styleId="EndnoteTextChar">
    <w:name w:val="Endnote Text Char"/>
    <w:aliases w:val="Endnote Text 12 Char"/>
    <w:basedOn w:val="DefaultParagraphFont"/>
    <w:link w:val="EndnoteText"/>
    <w:rsid w:val="00AE7147"/>
    <w:rPr>
      <w:szCs w:val="20"/>
    </w:rPr>
  </w:style>
  <w:style w:type="character" w:styleId="EndnoteReference">
    <w:name w:val="endnote reference"/>
    <w:basedOn w:val="DefaultParagraphFont"/>
    <w:unhideWhenUsed/>
    <w:qFormat/>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customStyle="1" w:styleId="UnresolvedMention2">
    <w:name w:val="Unresolved Mention2"/>
    <w:basedOn w:val="DefaultParagraphFont"/>
    <w:uiPriority w:val="99"/>
    <w:semiHidden/>
    <w:unhideWhenUsed/>
    <w:rsid w:val="00C71331"/>
    <w:rPr>
      <w:color w:val="605E5C"/>
      <w:shd w:val="clear" w:color="auto" w:fill="E1DFDD"/>
    </w:rPr>
  </w:style>
  <w:style w:type="table" w:customStyle="1" w:styleId="TableGrid1">
    <w:name w:val="Table Grid1"/>
    <w:basedOn w:val="TableNormal"/>
    <w:next w:val="TableGrid"/>
    <w:uiPriority w:val="39"/>
    <w:rsid w:val="00EF7771"/>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2">
    <w:name w:val="Table Grid2"/>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3">
    <w:name w:val="Table Grid3"/>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4">
    <w:name w:val="Table Grid4"/>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5">
    <w:name w:val="Table Grid5"/>
    <w:basedOn w:val="TableNormal"/>
    <w:next w:val="TableGrid"/>
    <w:uiPriority w:val="39"/>
    <w:rsid w:val="00224A03"/>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UnresolvedMention">
    <w:name w:val="Unresolved Mention"/>
    <w:basedOn w:val="DefaultParagraphFont"/>
    <w:uiPriority w:val="99"/>
    <w:semiHidden/>
    <w:unhideWhenUsed/>
    <w:rsid w:val="00DE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6425">
      <w:bodyDiv w:val="1"/>
      <w:marLeft w:val="0"/>
      <w:marRight w:val="0"/>
      <w:marTop w:val="0"/>
      <w:marBottom w:val="0"/>
      <w:divBdr>
        <w:top w:val="none" w:sz="0" w:space="0" w:color="auto"/>
        <w:left w:val="none" w:sz="0" w:space="0" w:color="auto"/>
        <w:bottom w:val="none" w:sz="0" w:space="0" w:color="auto"/>
        <w:right w:val="none" w:sz="0" w:space="0" w:color="auto"/>
      </w:divBdr>
      <w:divsChild>
        <w:div w:id="38629304">
          <w:marLeft w:val="0"/>
          <w:marRight w:val="0"/>
          <w:marTop w:val="0"/>
          <w:marBottom w:val="0"/>
          <w:divBdr>
            <w:top w:val="none" w:sz="0" w:space="0" w:color="auto"/>
            <w:left w:val="none" w:sz="0" w:space="0" w:color="auto"/>
            <w:bottom w:val="none" w:sz="0" w:space="0" w:color="auto"/>
            <w:right w:val="none" w:sz="0" w:space="0" w:color="auto"/>
          </w:divBdr>
          <w:divsChild>
            <w:div w:id="432822892">
              <w:marLeft w:val="0"/>
              <w:marRight w:val="0"/>
              <w:marTop w:val="0"/>
              <w:marBottom w:val="0"/>
              <w:divBdr>
                <w:top w:val="none" w:sz="0" w:space="0" w:color="auto"/>
                <w:left w:val="none" w:sz="0" w:space="0" w:color="auto"/>
                <w:bottom w:val="none" w:sz="0" w:space="0" w:color="auto"/>
                <w:right w:val="none" w:sz="0" w:space="0" w:color="auto"/>
              </w:divBdr>
            </w:div>
          </w:divsChild>
        </w:div>
        <w:div w:id="606354011">
          <w:marLeft w:val="0"/>
          <w:marRight w:val="0"/>
          <w:marTop w:val="0"/>
          <w:marBottom w:val="0"/>
          <w:divBdr>
            <w:top w:val="none" w:sz="0" w:space="0" w:color="auto"/>
            <w:left w:val="none" w:sz="0" w:space="0" w:color="auto"/>
            <w:bottom w:val="none" w:sz="0" w:space="0" w:color="auto"/>
            <w:right w:val="none" w:sz="0" w:space="0" w:color="auto"/>
          </w:divBdr>
          <w:divsChild>
            <w:div w:id="2120447575">
              <w:marLeft w:val="0"/>
              <w:marRight w:val="0"/>
              <w:marTop w:val="0"/>
              <w:marBottom w:val="0"/>
              <w:divBdr>
                <w:top w:val="none" w:sz="0" w:space="0" w:color="auto"/>
                <w:left w:val="none" w:sz="0" w:space="0" w:color="auto"/>
                <w:bottom w:val="none" w:sz="0" w:space="0" w:color="auto"/>
                <w:right w:val="none" w:sz="0" w:space="0" w:color="auto"/>
              </w:divBdr>
              <w:divsChild>
                <w:div w:id="4680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5693">
          <w:marLeft w:val="0"/>
          <w:marRight w:val="0"/>
          <w:marTop w:val="0"/>
          <w:marBottom w:val="0"/>
          <w:divBdr>
            <w:top w:val="none" w:sz="0" w:space="0" w:color="auto"/>
            <w:left w:val="none" w:sz="0" w:space="0" w:color="auto"/>
            <w:bottom w:val="none" w:sz="0" w:space="0" w:color="auto"/>
            <w:right w:val="none" w:sz="0" w:space="0" w:color="auto"/>
          </w:divBdr>
          <w:divsChild>
            <w:div w:id="39592348">
              <w:marLeft w:val="0"/>
              <w:marRight w:val="0"/>
              <w:marTop w:val="0"/>
              <w:marBottom w:val="0"/>
              <w:divBdr>
                <w:top w:val="none" w:sz="0" w:space="0" w:color="auto"/>
                <w:left w:val="none" w:sz="0" w:space="0" w:color="auto"/>
                <w:bottom w:val="none" w:sz="0" w:space="0" w:color="auto"/>
                <w:right w:val="none" w:sz="0" w:space="0" w:color="auto"/>
              </w:divBdr>
              <w:divsChild>
                <w:div w:id="14479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0406">
      <w:bodyDiv w:val="1"/>
      <w:marLeft w:val="0"/>
      <w:marRight w:val="0"/>
      <w:marTop w:val="0"/>
      <w:marBottom w:val="0"/>
      <w:divBdr>
        <w:top w:val="none" w:sz="0" w:space="0" w:color="auto"/>
        <w:left w:val="none" w:sz="0" w:space="0" w:color="auto"/>
        <w:bottom w:val="none" w:sz="0" w:space="0" w:color="auto"/>
        <w:right w:val="none" w:sz="0" w:space="0" w:color="auto"/>
      </w:divBdr>
      <w:divsChild>
        <w:div w:id="1854879805">
          <w:marLeft w:val="0"/>
          <w:marRight w:val="0"/>
          <w:marTop w:val="0"/>
          <w:marBottom w:val="0"/>
          <w:divBdr>
            <w:top w:val="none" w:sz="0" w:space="0" w:color="auto"/>
            <w:left w:val="none" w:sz="0" w:space="0" w:color="auto"/>
            <w:bottom w:val="none" w:sz="0" w:space="0" w:color="auto"/>
            <w:right w:val="none" w:sz="0" w:space="0" w:color="auto"/>
          </w:divBdr>
          <w:divsChild>
            <w:div w:id="1962613788">
              <w:marLeft w:val="0"/>
              <w:marRight w:val="0"/>
              <w:marTop w:val="0"/>
              <w:marBottom w:val="0"/>
              <w:divBdr>
                <w:top w:val="none" w:sz="0" w:space="0" w:color="auto"/>
                <w:left w:val="none" w:sz="0" w:space="0" w:color="auto"/>
                <w:bottom w:val="none" w:sz="0" w:space="0" w:color="auto"/>
                <w:right w:val="none" w:sz="0" w:space="0" w:color="auto"/>
              </w:divBdr>
              <w:divsChild>
                <w:div w:id="852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586">
          <w:marLeft w:val="0"/>
          <w:marRight w:val="0"/>
          <w:marTop w:val="0"/>
          <w:marBottom w:val="0"/>
          <w:divBdr>
            <w:top w:val="none" w:sz="0" w:space="0" w:color="auto"/>
            <w:left w:val="none" w:sz="0" w:space="0" w:color="auto"/>
            <w:bottom w:val="none" w:sz="0" w:space="0" w:color="auto"/>
            <w:right w:val="none" w:sz="0" w:space="0" w:color="auto"/>
          </w:divBdr>
          <w:divsChild>
            <w:div w:id="1118179438">
              <w:marLeft w:val="0"/>
              <w:marRight w:val="0"/>
              <w:marTop w:val="0"/>
              <w:marBottom w:val="0"/>
              <w:divBdr>
                <w:top w:val="none" w:sz="0" w:space="0" w:color="auto"/>
                <w:left w:val="none" w:sz="0" w:space="0" w:color="auto"/>
                <w:bottom w:val="none" w:sz="0" w:space="0" w:color="auto"/>
                <w:right w:val="none" w:sz="0" w:space="0" w:color="auto"/>
              </w:divBdr>
              <w:divsChild>
                <w:div w:id="3925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5">
          <w:marLeft w:val="0"/>
          <w:marRight w:val="0"/>
          <w:marTop w:val="0"/>
          <w:marBottom w:val="0"/>
          <w:divBdr>
            <w:top w:val="none" w:sz="0" w:space="0" w:color="auto"/>
            <w:left w:val="none" w:sz="0" w:space="0" w:color="auto"/>
            <w:bottom w:val="none" w:sz="0" w:space="0" w:color="auto"/>
            <w:right w:val="none" w:sz="0" w:space="0" w:color="auto"/>
          </w:divBdr>
          <w:divsChild>
            <w:div w:id="2043283002">
              <w:marLeft w:val="0"/>
              <w:marRight w:val="0"/>
              <w:marTop w:val="0"/>
              <w:marBottom w:val="0"/>
              <w:divBdr>
                <w:top w:val="none" w:sz="0" w:space="0" w:color="auto"/>
                <w:left w:val="none" w:sz="0" w:space="0" w:color="auto"/>
                <w:bottom w:val="none" w:sz="0" w:space="0" w:color="auto"/>
                <w:right w:val="none" w:sz="0" w:space="0" w:color="auto"/>
              </w:divBdr>
              <w:divsChild>
                <w:div w:id="1229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3341">
          <w:marLeft w:val="0"/>
          <w:marRight w:val="0"/>
          <w:marTop w:val="0"/>
          <w:marBottom w:val="0"/>
          <w:divBdr>
            <w:top w:val="none" w:sz="0" w:space="0" w:color="auto"/>
            <w:left w:val="none" w:sz="0" w:space="0" w:color="auto"/>
            <w:bottom w:val="none" w:sz="0" w:space="0" w:color="auto"/>
            <w:right w:val="none" w:sz="0" w:space="0" w:color="auto"/>
          </w:divBdr>
          <w:divsChild>
            <w:div w:id="1140732665">
              <w:marLeft w:val="0"/>
              <w:marRight w:val="0"/>
              <w:marTop w:val="0"/>
              <w:marBottom w:val="0"/>
              <w:divBdr>
                <w:top w:val="none" w:sz="0" w:space="0" w:color="auto"/>
                <w:left w:val="none" w:sz="0" w:space="0" w:color="auto"/>
                <w:bottom w:val="none" w:sz="0" w:space="0" w:color="auto"/>
                <w:right w:val="none" w:sz="0" w:space="0" w:color="auto"/>
              </w:divBdr>
              <w:divsChild>
                <w:div w:id="16192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310">
          <w:marLeft w:val="0"/>
          <w:marRight w:val="0"/>
          <w:marTop w:val="0"/>
          <w:marBottom w:val="0"/>
          <w:divBdr>
            <w:top w:val="none" w:sz="0" w:space="0" w:color="auto"/>
            <w:left w:val="none" w:sz="0" w:space="0" w:color="auto"/>
            <w:bottom w:val="none" w:sz="0" w:space="0" w:color="auto"/>
            <w:right w:val="none" w:sz="0" w:space="0" w:color="auto"/>
          </w:divBdr>
          <w:divsChild>
            <w:div w:id="1281912258">
              <w:marLeft w:val="0"/>
              <w:marRight w:val="0"/>
              <w:marTop w:val="0"/>
              <w:marBottom w:val="0"/>
              <w:divBdr>
                <w:top w:val="none" w:sz="0" w:space="0" w:color="auto"/>
                <w:left w:val="none" w:sz="0" w:space="0" w:color="auto"/>
                <w:bottom w:val="none" w:sz="0" w:space="0" w:color="auto"/>
                <w:right w:val="none" w:sz="0" w:space="0" w:color="auto"/>
              </w:divBdr>
              <w:divsChild>
                <w:div w:id="552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425">
          <w:marLeft w:val="0"/>
          <w:marRight w:val="0"/>
          <w:marTop w:val="0"/>
          <w:marBottom w:val="0"/>
          <w:divBdr>
            <w:top w:val="none" w:sz="0" w:space="0" w:color="auto"/>
            <w:left w:val="none" w:sz="0" w:space="0" w:color="auto"/>
            <w:bottom w:val="none" w:sz="0" w:space="0" w:color="auto"/>
            <w:right w:val="none" w:sz="0" w:space="0" w:color="auto"/>
          </w:divBdr>
          <w:divsChild>
            <w:div w:id="1364549641">
              <w:marLeft w:val="0"/>
              <w:marRight w:val="0"/>
              <w:marTop w:val="0"/>
              <w:marBottom w:val="0"/>
              <w:divBdr>
                <w:top w:val="none" w:sz="0" w:space="0" w:color="auto"/>
                <w:left w:val="none" w:sz="0" w:space="0" w:color="auto"/>
                <w:bottom w:val="none" w:sz="0" w:space="0" w:color="auto"/>
                <w:right w:val="none" w:sz="0" w:space="0" w:color="auto"/>
              </w:divBdr>
              <w:divsChild>
                <w:div w:id="491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9241">
          <w:marLeft w:val="0"/>
          <w:marRight w:val="0"/>
          <w:marTop w:val="0"/>
          <w:marBottom w:val="0"/>
          <w:divBdr>
            <w:top w:val="none" w:sz="0" w:space="0" w:color="auto"/>
            <w:left w:val="none" w:sz="0" w:space="0" w:color="auto"/>
            <w:bottom w:val="none" w:sz="0" w:space="0" w:color="auto"/>
            <w:right w:val="none" w:sz="0" w:space="0" w:color="auto"/>
          </w:divBdr>
          <w:divsChild>
            <w:div w:id="132216576">
              <w:marLeft w:val="0"/>
              <w:marRight w:val="0"/>
              <w:marTop w:val="0"/>
              <w:marBottom w:val="0"/>
              <w:divBdr>
                <w:top w:val="none" w:sz="0" w:space="0" w:color="auto"/>
                <w:left w:val="none" w:sz="0" w:space="0" w:color="auto"/>
                <w:bottom w:val="none" w:sz="0" w:space="0" w:color="auto"/>
                <w:right w:val="none" w:sz="0" w:space="0" w:color="auto"/>
              </w:divBdr>
              <w:divsChild>
                <w:div w:id="20282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5161">
          <w:marLeft w:val="0"/>
          <w:marRight w:val="0"/>
          <w:marTop w:val="0"/>
          <w:marBottom w:val="0"/>
          <w:divBdr>
            <w:top w:val="none" w:sz="0" w:space="0" w:color="auto"/>
            <w:left w:val="none" w:sz="0" w:space="0" w:color="auto"/>
            <w:bottom w:val="none" w:sz="0" w:space="0" w:color="auto"/>
            <w:right w:val="none" w:sz="0" w:space="0" w:color="auto"/>
          </w:divBdr>
          <w:divsChild>
            <w:div w:id="1560246788">
              <w:marLeft w:val="0"/>
              <w:marRight w:val="0"/>
              <w:marTop w:val="0"/>
              <w:marBottom w:val="0"/>
              <w:divBdr>
                <w:top w:val="none" w:sz="0" w:space="0" w:color="auto"/>
                <w:left w:val="none" w:sz="0" w:space="0" w:color="auto"/>
                <w:bottom w:val="none" w:sz="0" w:space="0" w:color="auto"/>
                <w:right w:val="none" w:sz="0" w:space="0" w:color="auto"/>
              </w:divBdr>
              <w:divsChild>
                <w:div w:id="1781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833">
          <w:marLeft w:val="0"/>
          <w:marRight w:val="0"/>
          <w:marTop w:val="0"/>
          <w:marBottom w:val="0"/>
          <w:divBdr>
            <w:top w:val="none" w:sz="0" w:space="0" w:color="auto"/>
            <w:left w:val="none" w:sz="0" w:space="0" w:color="auto"/>
            <w:bottom w:val="none" w:sz="0" w:space="0" w:color="auto"/>
            <w:right w:val="none" w:sz="0" w:space="0" w:color="auto"/>
          </w:divBdr>
          <w:divsChild>
            <w:div w:id="645746577">
              <w:marLeft w:val="0"/>
              <w:marRight w:val="0"/>
              <w:marTop w:val="0"/>
              <w:marBottom w:val="0"/>
              <w:divBdr>
                <w:top w:val="none" w:sz="0" w:space="0" w:color="auto"/>
                <w:left w:val="none" w:sz="0" w:space="0" w:color="auto"/>
                <w:bottom w:val="none" w:sz="0" w:space="0" w:color="auto"/>
                <w:right w:val="none" w:sz="0" w:space="0" w:color="auto"/>
              </w:divBdr>
              <w:divsChild>
                <w:div w:id="1428699288">
                  <w:marLeft w:val="0"/>
                  <w:marRight w:val="0"/>
                  <w:marTop w:val="0"/>
                  <w:marBottom w:val="0"/>
                  <w:divBdr>
                    <w:top w:val="none" w:sz="0" w:space="0" w:color="auto"/>
                    <w:left w:val="none" w:sz="0" w:space="0" w:color="auto"/>
                    <w:bottom w:val="none" w:sz="0" w:space="0" w:color="auto"/>
                    <w:right w:val="none" w:sz="0" w:space="0" w:color="auto"/>
                  </w:divBdr>
                  <w:divsChild>
                    <w:div w:id="514880732">
                      <w:marLeft w:val="0"/>
                      <w:marRight w:val="0"/>
                      <w:marTop w:val="0"/>
                      <w:marBottom w:val="0"/>
                      <w:divBdr>
                        <w:top w:val="none" w:sz="0" w:space="0" w:color="auto"/>
                        <w:left w:val="none" w:sz="0" w:space="0" w:color="auto"/>
                        <w:bottom w:val="none" w:sz="0" w:space="0" w:color="auto"/>
                        <w:right w:val="none" w:sz="0" w:space="0" w:color="auto"/>
                      </w:divBdr>
                    </w:div>
                  </w:divsChild>
                </w:div>
                <w:div w:id="172425448">
                  <w:marLeft w:val="0"/>
                  <w:marRight w:val="0"/>
                  <w:marTop w:val="0"/>
                  <w:marBottom w:val="0"/>
                  <w:divBdr>
                    <w:top w:val="none" w:sz="0" w:space="0" w:color="auto"/>
                    <w:left w:val="none" w:sz="0" w:space="0" w:color="auto"/>
                    <w:bottom w:val="none" w:sz="0" w:space="0" w:color="auto"/>
                    <w:right w:val="none" w:sz="0" w:space="0" w:color="auto"/>
                  </w:divBdr>
                  <w:divsChild>
                    <w:div w:id="1202703">
                      <w:marLeft w:val="0"/>
                      <w:marRight w:val="0"/>
                      <w:marTop w:val="0"/>
                      <w:marBottom w:val="0"/>
                      <w:divBdr>
                        <w:top w:val="none" w:sz="0" w:space="0" w:color="auto"/>
                        <w:left w:val="none" w:sz="0" w:space="0" w:color="auto"/>
                        <w:bottom w:val="none" w:sz="0" w:space="0" w:color="auto"/>
                        <w:right w:val="none" w:sz="0" w:space="0" w:color="auto"/>
                      </w:divBdr>
                      <w:divsChild>
                        <w:div w:id="10951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6751">
                  <w:marLeft w:val="0"/>
                  <w:marRight w:val="0"/>
                  <w:marTop w:val="0"/>
                  <w:marBottom w:val="0"/>
                  <w:divBdr>
                    <w:top w:val="none" w:sz="0" w:space="0" w:color="auto"/>
                    <w:left w:val="none" w:sz="0" w:space="0" w:color="auto"/>
                    <w:bottom w:val="none" w:sz="0" w:space="0" w:color="auto"/>
                    <w:right w:val="none" w:sz="0" w:space="0" w:color="auto"/>
                  </w:divBdr>
                  <w:divsChild>
                    <w:div w:id="1321301388">
                      <w:marLeft w:val="0"/>
                      <w:marRight w:val="0"/>
                      <w:marTop w:val="0"/>
                      <w:marBottom w:val="0"/>
                      <w:divBdr>
                        <w:top w:val="none" w:sz="0" w:space="0" w:color="auto"/>
                        <w:left w:val="none" w:sz="0" w:space="0" w:color="auto"/>
                        <w:bottom w:val="none" w:sz="0" w:space="0" w:color="auto"/>
                        <w:right w:val="none" w:sz="0" w:space="0" w:color="auto"/>
                      </w:divBdr>
                      <w:divsChild>
                        <w:div w:id="1238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8109">
                  <w:marLeft w:val="0"/>
                  <w:marRight w:val="0"/>
                  <w:marTop w:val="0"/>
                  <w:marBottom w:val="0"/>
                  <w:divBdr>
                    <w:top w:val="none" w:sz="0" w:space="0" w:color="auto"/>
                    <w:left w:val="none" w:sz="0" w:space="0" w:color="auto"/>
                    <w:bottom w:val="none" w:sz="0" w:space="0" w:color="auto"/>
                    <w:right w:val="none" w:sz="0" w:space="0" w:color="auto"/>
                  </w:divBdr>
                  <w:divsChild>
                    <w:div w:id="1270696908">
                      <w:marLeft w:val="0"/>
                      <w:marRight w:val="0"/>
                      <w:marTop w:val="0"/>
                      <w:marBottom w:val="0"/>
                      <w:divBdr>
                        <w:top w:val="none" w:sz="0" w:space="0" w:color="auto"/>
                        <w:left w:val="none" w:sz="0" w:space="0" w:color="auto"/>
                        <w:bottom w:val="none" w:sz="0" w:space="0" w:color="auto"/>
                        <w:right w:val="none" w:sz="0" w:space="0" w:color="auto"/>
                      </w:divBdr>
                      <w:divsChild>
                        <w:div w:id="20999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6977">
      <w:bodyDiv w:val="1"/>
      <w:marLeft w:val="0"/>
      <w:marRight w:val="0"/>
      <w:marTop w:val="0"/>
      <w:marBottom w:val="0"/>
      <w:divBdr>
        <w:top w:val="none" w:sz="0" w:space="0" w:color="auto"/>
        <w:left w:val="none" w:sz="0" w:space="0" w:color="auto"/>
        <w:bottom w:val="none" w:sz="0" w:space="0" w:color="auto"/>
        <w:right w:val="none" w:sz="0" w:space="0" w:color="auto"/>
      </w:divBdr>
      <w:divsChild>
        <w:div w:id="247036280">
          <w:marLeft w:val="0"/>
          <w:marRight w:val="0"/>
          <w:marTop w:val="0"/>
          <w:marBottom w:val="0"/>
          <w:divBdr>
            <w:top w:val="none" w:sz="0" w:space="0" w:color="auto"/>
            <w:left w:val="none" w:sz="0" w:space="0" w:color="auto"/>
            <w:bottom w:val="none" w:sz="0" w:space="0" w:color="auto"/>
            <w:right w:val="none" w:sz="0" w:space="0" w:color="auto"/>
          </w:divBdr>
          <w:divsChild>
            <w:div w:id="488980608">
              <w:marLeft w:val="0"/>
              <w:marRight w:val="0"/>
              <w:marTop w:val="0"/>
              <w:marBottom w:val="0"/>
              <w:divBdr>
                <w:top w:val="none" w:sz="0" w:space="0" w:color="auto"/>
                <w:left w:val="none" w:sz="0" w:space="0" w:color="auto"/>
                <w:bottom w:val="none" w:sz="0" w:space="0" w:color="auto"/>
                <w:right w:val="none" w:sz="0" w:space="0" w:color="auto"/>
              </w:divBdr>
              <w:divsChild>
                <w:div w:id="17609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599">
          <w:marLeft w:val="0"/>
          <w:marRight w:val="0"/>
          <w:marTop w:val="0"/>
          <w:marBottom w:val="0"/>
          <w:divBdr>
            <w:top w:val="none" w:sz="0" w:space="0" w:color="auto"/>
            <w:left w:val="none" w:sz="0" w:space="0" w:color="auto"/>
            <w:bottom w:val="none" w:sz="0" w:space="0" w:color="auto"/>
            <w:right w:val="none" w:sz="0" w:space="0" w:color="auto"/>
          </w:divBdr>
          <w:divsChild>
            <w:div w:id="34279971">
              <w:marLeft w:val="0"/>
              <w:marRight w:val="0"/>
              <w:marTop w:val="0"/>
              <w:marBottom w:val="0"/>
              <w:divBdr>
                <w:top w:val="none" w:sz="0" w:space="0" w:color="auto"/>
                <w:left w:val="none" w:sz="0" w:space="0" w:color="auto"/>
                <w:bottom w:val="none" w:sz="0" w:space="0" w:color="auto"/>
                <w:right w:val="none" w:sz="0" w:space="0" w:color="auto"/>
              </w:divBdr>
              <w:divsChild>
                <w:div w:id="411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7012">
          <w:marLeft w:val="0"/>
          <w:marRight w:val="0"/>
          <w:marTop w:val="0"/>
          <w:marBottom w:val="0"/>
          <w:divBdr>
            <w:top w:val="none" w:sz="0" w:space="0" w:color="auto"/>
            <w:left w:val="none" w:sz="0" w:space="0" w:color="auto"/>
            <w:bottom w:val="none" w:sz="0" w:space="0" w:color="auto"/>
            <w:right w:val="none" w:sz="0" w:space="0" w:color="auto"/>
          </w:divBdr>
          <w:divsChild>
            <w:div w:id="529730667">
              <w:marLeft w:val="0"/>
              <w:marRight w:val="0"/>
              <w:marTop w:val="0"/>
              <w:marBottom w:val="0"/>
              <w:divBdr>
                <w:top w:val="none" w:sz="0" w:space="0" w:color="auto"/>
                <w:left w:val="none" w:sz="0" w:space="0" w:color="auto"/>
                <w:bottom w:val="none" w:sz="0" w:space="0" w:color="auto"/>
                <w:right w:val="none" w:sz="0" w:space="0" w:color="auto"/>
              </w:divBdr>
              <w:divsChild>
                <w:div w:id="7864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341">
          <w:marLeft w:val="0"/>
          <w:marRight w:val="0"/>
          <w:marTop w:val="0"/>
          <w:marBottom w:val="0"/>
          <w:divBdr>
            <w:top w:val="none" w:sz="0" w:space="0" w:color="auto"/>
            <w:left w:val="none" w:sz="0" w:space="0" w:color="auto"/>
            <w:bottom w:val="none" w:sz="0" w:space="0" w:color="auto"/>
            <w:right w:val="none" w:sz="0" w:space="0" w:color="auto"/>
          </w:divBdr>
          <w:divsChild>
            <w:div w:id="426124898">
              <w:marLeft w:val="0"/>
              <w:marRight w:val="0"/>
              <w:marTop w:val="0"/>
              <w:marBottom w:val="0"/>
              <w:divBdr>
                <w:top w:val="none" w:sz="0" w:space="0" w:color="auto"/>
                <w:left w:val="none" w:sz="0" w:space="0" w:color="auto"/>
                <w:bottom w:val="none" w:sz="0" w:space="0" w:color="auto"/>
                <w:right w:val="none" w:sz="0" w:space="0" w:color="auto"/>
              </w:divBdr>
              <w:divsChild>
                <w:div w:id="166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9510">
          <w:marLeft w:val="0"/>
          <w:marRight w:val="0"/>
          <w:marTop w:val="0"/>
          <w:marBottom w:val="0"/>
          <w:divBdr>
            <w:top w:val="none" w:sz="0" w:space="0" w:color="auto"/>
            <w:left w:val="none" w:sz="0" w:space="0" w:color="auto"/>
            <w:bottom w:val="none" w:sz="0" w:space="0" w:color="auto"/>
            <w:right w:val="none" w:sz="0" w:space="0" w:color="auto"/>
          </w:divBdr>
          <w:divsChild>
            <w:div w:id="703754995">
              <w:marLeft w:val="0"/>
              <w:marRight w:val="0"/>
              <w:marTop w:val="0"/>
              <w:marBottom w:val="0"/>
              <w:divBdr>
                <w:top w:val="none" w:sz="0" w:space="0" w:color="auto"/>
                <w:left w:val="none" w:sz="0" w:space="0" w:color="auto"/>
                <w:bottom w:val="none" w:sz="0" w:space="0" w:color="auto"/>
                <w:right w:val="none" w:sz="0" w:space="0" w:color="auto"/>
              </w:divBdr>
              <w:divsChild>
                <w:div w:id="10624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6875">
          <w:marLeft w:val="0"/>
          <w:marRight w:val="0"/>
          <w:marTop w:val="0"/>
          <w:marBottom w:val="0"/>
          <w:divBdr>
            <w:top w:val="none" w:sz="0" w:space="0" w:color="auto"/>
            <w:left w:val="none" w:sz="0" w:space="0" w:color="auto"/>
            <w:bottom w:val="none" w:sz="0" w:space="0" w:color="auto"/>
            <w:right w:val="none" w:sz="0" w:space="0" w:color="auto"/>
          </w:divBdr>
          <w:divsChild>
            <w:div w:id="582182967">
              <w:marLeft w:val="0"/>
              <w:marRight w:val="0"/>
              <w:marTop w:val="0"/>
              <w:marBottom w:val="0"/>
              <w:divBdr>
                <w:top w:val="none" w:sz="0" w:space="0" w:color="auto"/>
                <w:left w:val="none" w:sz="0" w:space="0" w:color="auto"/>
                <w:bottom w:val="none" w:sz="0" w:space="0" w:color="auto"/>
                <w:right w:val="none" w:sz="0" w:space="0" w:color="auto"/>
              </w:divBdr>
              <w:divsChild>
                <w:div w:id="774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671">
          <w:marLeft w:val="0"/>
          <w:marRight w:val="0"/>
          <w:marTop w:val="0"/>
          <w:marBottom w:val="0"/>
          <w:divBdr>
            <w:top w:val="none" w:sz="0" w:space="0" w:color="auto"/>
            <w:left w:val="none" w:sz="0" w:space="0" w:color="auto"/>
            <w:bottom w:val="none" w:sz="0" w:space="0" w:color="auto"/>
            <w:right w:val="none" w:sz="0" w:space="0" w:color="auto"/>
          </w:divBdr>
          <w:divsChild>
            <w:div w:id="1538664606">
              <w:marLeft w:val="0"/>
              <w:marRight w:val="0"/>
              <w:marTop w:val="0"/>
              <w:marBottom w:val="0"/>
              <w:divBdr>
                <w:top w:val="none" w:sz="0" w:space="0" w:color="auto"/>
                <w:left w:val="none" w:sz="0" w:space="0" w:color="auto"/>
                <w:bottom w:val="none" w:sz="0" w:space="0" w:color="auto"/>
                <w:right w:val="none" w:sz="0" w:space="0" w:color="auto"/>
              </w:divBdr>
              <w:divsChild>
                <w:div w:id="2035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8237">
          <w:marLeft w:val="0"/>
          <w:marRight w:val="0"/>
          <w:marTop w:val="0"/>
          <w:marBottom w:val="0"/>
          <w:divBdr>
            <w:top w:val="none" w:sz="0" w:space="0" w:color="auto"/>
            <w:left w:val="none" w:sz="0" w:space="0" w:color="auto"/>
            <w:bottom w:val="none" w:sz="0" w:space="0" w:color="auto"/>
            <w:right w:val="none" w:sz="0" w:space="0" w:color="auto"/>
          </w:divBdr>
          <w:divsChild>
            <w:div w:id="841362053">
              <w:marLeft w:val="0"/>
              <w:marRight w:val="0"/>
              <w:marTop w:val="0"/>
              <w:marBottom w:val="0"/>
              <w:divBdr>
                <w:top w:val="none" w:sz="0" w:space="0" w:color="auto"/>
                <w:left w:val="none" w:sz="0" w:space="0" w:color="auto"/>
                <w:bottom w:val="none" w:sz="0" w:space="0" w:color="auto"/>
                <w:right w:val="none" w:sz="0" w:space="0" w:color="auto"/>
              </w:divBdr>
              <w:divsChild>
                <w:div w:id="11940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361">
          <w:marLeft w:val="0"/>
          <w:marRight w:val="0"/>
          <w:marTop w:val="0"/>
          <w:marBottom w:val="0"/>
          <w:divBdr>
            <w:top w:val="none" w:sz="0" w:space="0" w:color="auto"/>
            <w:left w:val="none" w:sz="0" w:space="0" w:color="auto"/>
            <w:bottom w:val="none" w:sz="0" w:space="0" w:color="auto"/>
            <w:right w:val="none" w:sz="0" w:space="0" w:color="auto"/>
          </w:divBdr>
          <w:divsChild>
            <w:div w:id="881869079">
              <w:marLeft w:val="0"/>
              <w:marRight w:val="0"/>
              <w:marTop w:val="0"/>
              <w:marBottom w:val="0"/>
              <w:divBdr>
                <w:top w:val="none" w:sz="0" w:space="0" w:color="auto"/>
                <w:left w:val="none" w:sz="0" w:space="0" w:color="auto"/>
                <w:bottom w:val="none" w:sz="0" w:space="0" w:color="auto"/>
                <w:right w:val="none" w:sz="0" w:space="0" w:color="auto"/>
              </w:divBdr>
              <w:divsChild>
                <w:div w:id="548103486">
                  <w:marLeft w:val="0"/>
                  <w:marRight w:val="0"/>
                  <w:marTop w:val="0"/>
                  <w:marBottom w:val="0"/>
                  <w:divBdr>
                    <w:top w:val="none" w:sz="0" w:space="0" w:color="auto"/>
                    <w:left w:val="none" w:sz="0" w:space="0" w:color="auto"/>
                    <w:bottom w:val="none" w:sz="0" w:space="0" w:color="auto"/>
                    <w:right w:val="none" w:sz="0" w:space="0" w:color="auto"/>
                  </w:divBdr>
                  <w:divsChild>
                    <w:div w:id="930504641">
                      <w:marLeft w:val="0"/>
                      <w:marRight w:val="0"/>
                      <w:marTop w:val="0"/>
                      <w:marBottom w:val="0"/>
                      <w:divBdr>
                        <w:top w:val="none" w:sz="0" w:space="0" w:color="auto"/>
                        <w:left w:val="none" w:sz="0" w:space="0" w:color="auto"/>
                        <w:bottom w:val="none" w:sz="0" w:space="0" w:color="auto"/>
                        <w:right w:val="none" w:sz="0" w:space="0" w:color="auto"/>
                      </w:divBdr>
                    </w:div>
                  </w:divsChild>
                </w:div>
                <w:div w:id="422990751">
                  <w:marLeft w:val="0"/>
                  <w:marRight w:val="0"/>
                  <w:marTop w:val="0"/>
                  <w:marBottom w:val="0"/>
                  <w:divBdr>
                    <w:top w:val="none" w:sz="0" w:space="0" w:color="auto"/>
                    <w:left w:val="none" w:sz="0" w:space="0" w:color="auto"/>
                    <w:bottom w:val="none" w:sz="0" w:space="0" w:color="auto"/>
                    <w:right w:val="none" w:sz="0" w:space="0" w:color="auto"/>
                  </w:divBdr>
                  <w:divsChild>
                    <w:div w:id="260603069">
                      <w:marLeft w:val="0"/>
                      <w:marRight w:val="0"/>
                      <w:marTop w:val="0"/>
                      <w:marBottom w:val="0"/>
                      <w:divBdr>
                        <w:top w:val="none" w:sz="0" w:space="0" w:color="auto"/>
                        <w:left w:val="none" w:sz="0" w:space="0" w:color="auto"/>
                        <w:bottom w:val="none" w:sz="0" w:space="0" w:color="auto"/>
                        <w:right w:val="none" w:sz="0" w:space="0" w:color="auto"/>
                      </w:divBdr>
                      <w:divsChild>
                        <w:div w:id="7492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1534">
                  <w:marLeft w:val="0"/>
                  <w:marRight w:val="0"/>
                  <w:marTop w:val="0"/>
                  <w:marBottom w:val="0"/>
                  <w:divBdr>
                    <w:top w:val="none" w:sz="0" w:space="0" w:color="auto"/>
                    <w:left w:val="none" w:sz="0" w:space="0" w:color="auto"/>
                    <w:bottom w:val="none" w:sz="0" w:space="0" w:color="auto"/>
                    <w:right w:val="none" w:sz="0" w:space="0" w:color="auto"/>
                  </w:divBdr>
                  <w:divsChild>
                    <w:div w:id="864245827">
                      <w:marLeft w:val="0"/>
                      <w:marRight w:val="0"/>
                      <w:marTop w:val="0"/>
                      <w:marBottom w:val="0"/>
                      <w:divBdr>
                        <w:top w:val="none" w:sz="0" w:space="0" w:color="auto"/>
                        <w:left w:val="none" w:sz="0" w:space="0" w:color="auto"/>
                        <w:bottom w:val="none" w:sz="0" w:space="0" w:color="auto"/>
                        <w:right w:val="none" w:sz="0" w:space="0" w:color="auto"/>
                      </w:divBdr>
                      <w:divsChild>
                        <w:div w:id="2207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227">
                  <w:marLeft w:val="0"/>
                  <w:marRight w:val="0"/>
                  <w:marTop w:val="0"/>
                  <w:marBottom w:val="0"/>
                  <w:divBdr>
                    <w:top w:val="none" w:sz="0" w:space="0" w:color="auto"/>
                    <w:left w:val="none" w:sz="0" w:space="0" w:color="auto"/>
                    <w:bottom w:val="none" w:sz="0" w:space="0" w:color="auto"/>
                    <w:right w:val="none" w:sz="0" w:space="0" w:color="auto"/>
                  </w:divBdr>
                  <w:divsChild>
                    <w:div w:id="1708874065">
                      <w:marLeft w:val="0"/>
                      <w:marRight w:val="0"/>
                      <w:marTop w:val="0"/>
                      <w:marBottom w:val="0"/>
                      <w:divBdr>
                        <w:top w:val="none" w:sz="0" w:space="0" w:color="auto"/>
                        <w:left w:val="none" w:sz="0" w:space="0" w:color="auto"/>
                        <w:bottom w:val="none" w:sz="0" w:space="0" w:color="auto"/>
                        <w:right w:val="none" w:sz="0" w:space="0" w:color="auto"/>
                      </w:divBdr>
                      <w:divsChild>
                        <w:div w:id="11148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05295">
      <w:bodyDiv w:val="1"/>
      <w:marLeft w:val="0"/>
      <w:marRight w:val="0"/>
      <w:marTop w:val="0"/>
      <w:marBottom w:val="0"/>
      <w:divBdr>
        <w:top w:val="none" w:sz="0" w:space="0" w:color="auto"/>
        <w:left w:val="none" w:sz="0" w:space="0" w:color="auto"/>
        <w:bottom w:val="none" w:sz="0" w:space="0" w:color="auto"/>
        <w:right w:val="none" w:sz="0" w:space="0" w:color="auto"/>
      </w:divBdr>
      <w:divsChild>
        <w:div w:id="1513183389">
          <w:marLeft w:val="0"/>
          <w:marRight w:val="0"/>
          <w:marTop w:val="0"/>
          <w:marBottom w:val="0"/>
          <w:divBdr>
            <w:top w:val="none" w:sz="0" w:space="0" w:color="auto"/>
            <w:left w:val="none" w:sz="0" w:space="0" w:color="auto"/>
            <w:bottom w:val="none" w:sz="0" w:space="0" w:color="auto"/>
            <w:right w:val="none" w:sz="0" w:space="0" w:color="auto"/>
          </w:divBdr>
          <w:divsChild>
            <w:div w:id="2022660541">
              <w:marLeft w:val="0"/>
              <w:marRight w:val="0"/>
              <w:marTop w:val="0"/>
              <w:marBottom w:val="0"/>
              <w:divBdr>
                <w:top w:val="none" w:sz="0" w:space="0" w:color="auto"/>
                <w:left w:val="none" w:sz="0" w:space="0" w:color="auto"/>
                <w:bottom w:val="none" w:sz="0" w:space="0" w:color="auto"/>
                <w:right w:val="none" w:sz="0" w:space="0" w:color="auto"/>
              </w:divBdr>
            </w:div>
          </w:divsChild>
        </w:div>
        <w:div w:id="1538812178">
          <w:marLeft w:val="0"/>
          <w:marRight w:val="0"/>
          <w:marTop w:val="0"/>
          <w:marBottom w:val="0"/>
          <w:divBdr>
            <w:top w:val="none" w:sz="0" w:space="0" w:color="auto"/>
            <w:left w:val="none" w:sz="0" w:space="0" w:color="auto"/>
            <w:bottom w:val="none" w:sz="0" w:space="0" w:color="auto"/>
            <w:right w:val="none" w:sz="0" w:space="0" w:color="auto"/>
          </w:divBdr>
          <w:divsChild>
            <w:div w:id="526333681">
              <w:marLeft w:val="0"/>
              <w:marRight w:val="0"/>
              <w:marTop w:val="0"/>
              <w:marBottom w:val="0"/>
              <w:divBdr>
                <w:top w:val="none" w:sz="0" w:space="0" w:color="auto"/>
                <w:left w:val="none" w:sz="0" w:space="0" w:color="auto"/>
                <w:bottom w:val="none" w:sz="0" w:space="0" w:color="auto"/>
                <w:right w:val="none" w:sz="0" w:space="0" w:color="auto"/>
              </w:divBdr>
              <w:divsChild>
                <w:div w:id="6475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7188">
          <w:marLeft w:val="0"/>
          <w:marRight w:val="0"/>
          <w:marTop w:val="0"/>
          <w:marBottom w:val="0"/>
          <w:divBdr>
            <w:top w:val="none" w:sz="0" w:space="0" w:color="auto"/>
            <w:left w:val="none" w:sz="0" w:space="0" w:color="auto"/>
            <w:bottom w:val="none" w:sz="0" w:space="0" w:color="auto"/>
            <w:right w:val="none" w:sz="0" w:space="0" w:color="auto"/>
          </w:divBdr>
          <w:divsChild>
            <w:div w:id="1993371264">
              <w:marLeft w:val="0"/>
              <w:marRight w:val="0"/>
              <w:marTop w:val="0"/>
              <w:marBottom w:val="0"/>
              <w:divBdr>
                <w:top w:val="none" w:sz="0" w:space="0" w:color="auto"/>
                <w:left w:val="none" w:sz="0" w:space="0" w:color="auto"/>
                <w:bottom w:val="none" w:sz="0" w:space="0" w:color="auto"/>
                <w:right w:val="none" w:sz="0" w:space="0" w:color="auto"/>
              </w:divBdr>
              <w:divsChild>
                <w:div w:id="18075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F89B-728B-45C0-B9E1-59525021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2024-01-02T01:06:00Z</dcterms:created>
  <dcterms:modified xsi:type="dcterms:W3CDTF">2024-01-02T01:06:00Z</dcterms:modified>
</cp:coreProperties>
</file>