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E81A" w14:textId="4A2EBF53" w:rsidR="00555CD3" w:rsidRPr="00555CD3" w:rsidRDefault="00EA3034" w:rsidP="009B42AB">
      <w:pPr>
        <w:keepNext/>
        <w:spacing w:after="200" w:line="480" w:lineRule="auto"/>
        <w:jc w:val="center"/>
        <w:rPr>
          <w:rFonts w:eastAsia="Times New Roman" w:cs="Times New Roman"/>
          <w:b/>
          <w:sz w:val="28"/>
          <w:szCs w:val="28"/>
        </w:rPr>
      </w:pPr>
      <w:bookmarkStart w:id="0" w:name="_Hlk111203407"/>
      <w:r>
        <w:rPr>
          <w:rFonts w:eastAsia="Times New Roman" w:cs="Times New Roman"/>
          <w:b/>
          <w:sz w:val="28"/>
          <w:szCs w:val="28"/>
        </w:rPr>
        <w:t>CUSTODIAL STATEMENTS OF MINORS</w:t>
      </w:r>
      <w:r w:rsidR="003842AF">
        <w:rPr>
          <w:rFonts w:eastAsia="Times New Roman" w:cs="Times New Roman"/>
          <w:b/>
          <w:sz w:val="28"/>
          <w:szCs w:val="28"/>
        </w:rPr>
        <w:t xml:space="preserve">- </w:t>
      </w:r>
      <w:r w:rsidR="00555CD3" w:rsidRPr="00555CD3">
        <w:rPr>
          <w:rFonts w:eastAsia="Times New Roman" w:cs="Times New Roman"/>
          <w:b/>
          <w:sz w:val="28"/>
          <w:szCs w:val="28"/>
        </w:rPr>
        <w:t>EPISODE NOTES</w:t>
      </w:r>
    </w:p>
    <w:p w14:paraId="722B0C17" w14:textId="51106F24" w:rsidR="00F0409E" w:rsidRDefault="00F0409E" w:rsidP="00555CD3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Hello everyone and welcome back to the Good Judge-</w:t>
      </w:r>
      <w:proofErr w:type="spellStart"/>
      <w:r>
        <w:rPr>
          <w:rFonts w:eastAsia="Times New Roman" w:cs="Times New Roman"/>
          <w:bCs/>
          <w:sz w:val="28"/>
          <w:szCs w:val="28"/>
        </w:rPr>
        <w:t>Ment</w:t>
      </w:r>
      <w:proofErr w:type="spellEnd"/>
      <w:r>
        <w:rPr>
          <w:rFonts w:eastAsia="Times New Roman" w:cs="Times New Roman"/>
          <w:bCs/>
          <w:sz w:val="28"/>
          <w:szCs w:val="28"/>
        </w:rPr>
        <w:t xml:space="preserve"> Podcast.  I am Wade Padgett</w:t>
      </w:r>
    </w:p>
    <w:p w14:paraId="7E849D87" w14:textId="433AF810" w:rsidR="00F0409E" w:rsidRDefault="00F0409E" w:rsidP="00555CD3">
      <w:pPr>
        <w:spacing w:after="200" w:line="480" w:lineRule="auto"/>
        <w:rPr>
          <w:rFonts w:eastAsia="Times New Roman" w:cs="Times New Roman"/>
          <w:bCs/>
          <w:i/>
          <w:iCs/>
          <w:sz w:val="28"/>
          <w:szCs w:val="28"/>
        </w:rPr>
      </w:pPr>
      <w:r>
        <w:rPr>
          <w:rFonts w:eastAsia="Times New Roman" w:cs="Times New Roman"/>
          <w:bCs/>
          <w:i/>
          <w:iCs/>
          <w:sz w:val="28"/>
          <w:szCs w:val="28"/>
        </w:rPr>
        <w:t xml:space="preserve">And I am Tain Kell. </w:t>
      </w:r>
    </w:p>
    <w:p w14:paraId="17A4F298" w14:textId="51B9DB8C" w:rsidR="00F0409E" w:rsidRPr="00EA3034" w:rsidRDefault="00EA3034" w:rsidP="00555CD3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A while back, we recorded </w:t>
      </w:r>
      <w:r w:rsidR="004134DA">
        <w:rPr>
          <w:rFonts w:eastAsia="Times New Roman" w:cs="Times New Roman"/>
          <w:bCs/>
          <w:sz w:val="28"/>
          <w:szCs w:val="28"/>
        </w:rPr>
        <w:t xml:space="preserve">two </w:t>
      </w:r>
      <w:r>
        <w:rPr>
          <w:rFonts w:eastAsia="Times New Roman" w:cs="Times New Roman"/>
          <w:bCs/>
          <w:sz w:val="28"/>
          <w:szCs w:val="28"/>
        </w:rPr>
        <w:t>episode</w:t>
      </w:r>
      <w:r w:rsidR="004134DA">
        <w:rPr>
          <w:rFonts w:eastAsia="Times New Roman" w:cs="Times New Roman"/>
          <w:bCs/>
          <w:sz w:val="28"/>
          <w:szCs w:val="28"/>
        </w:rPr>
        <w:t>s</w:t>
      </w:r>
      <w:r>
        <w:rPr>
          <w:rFonts w:eastAsia="Times New Roman" w:cs="Times New Roman"/>
          <w:bCs/>
          <w:sz w:val="28"/>
          <w:szCs w:val="28"/>
        </w:rPr>
        <w:t xml:space="preserve"> dealing with </w:t>
      </w:r>
      <w:r>
        <w:rPr>
          <w:rFonts w:eastAsia="Times New Roman" w:cs="Times New Roman"/>
          <w:bCs/>
          <w:i/>
          <w:iCs/>
          <w:sz w:val="28"/>
          <w:szCs w:val="28"/>
        </w:rPr>
        <w:t>Jackson v. Denno</w:t>
      </w:r>
      <w:r>
        <w:rPr>
          <w:rFonts w:eastAsia="Times New Roman" w:cs="Times New Roman"/>
          <w:bCs/>
          <w:sz w:val="28"/>
          <w:szCs w:val="28"/>
        </w:rPr>
        <w:t xml:space="preserve"> hearings and custodial statements in general.</w:t>
      </w:r>
    </w:p>
    <w:p w14:paraId="67F308E0" w14:textId="31D091E9" w:rsidR="00A23CEE" w:rsidRPr="00AF648B" w:rsidRDefault="000C12F1" w:rsidP="00555CD3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i/>
          <w:iCs/>
          <w:sz w:val="28"/>
          <w:szCs w:val="28"/>
        </w:rPr>
        <w:t>Oh yeah, episodes 47 and 48.  I remember them like they were yesterday.</w:t>
      </w:r>
    </w:p>
    <w:p w14:paraId="701E8693" w14:textId="05C78E72" w:rsidR="00F0409E" w:rsidRDefault="000C12F1" w:rsidP="00555CD3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In one section, I may have sounded a little salty because we discussed a case where I had been reversed.</w:t>
      </w:r>
    </w:p>
    <w:p w14:paraId="53B06C3A" w14:textId="5C3618D7" w:rsidR="000C12F1" w:rsidRDefault="000C12F1" w:rsidP="00555CD3">
      <w:pPr>
        <w:spacing w:after="200" w:line="480" w:lineRule="auto"/>
        <w:rPr>
          <w:rFonts w:eastAsia="Times New Roman" w:cs="Times New Roman"/>
          <w:bCs/>
          <w:i/>
          <w:iCs/>
          <w:sz w:val="28"/>
          <w:szCs w:val="28"/>
        </w:rPr>
      </w:pPr>
      <w:r>
        <w:rPr>
          <w:rFonts w:eastAsia="Times New Roman" w:cs="Times New Roman"/>
          <w:bCs/>
          <w:i/>
          <w:iCs/>
          <w:sz w:val="28"/>
          <w:szCs w:val="28"/>
        </w:rPr>
        <w:t>You?  Salty?  Never.</w:t>
      </w:r>
    </w:p>
    <w:p w14:paraId="2263DE41" w14:textId="3C9F1740" w:rsidR="000C12F1" w:rsidRPr="000C12F1" w:rsidRDefault="000C12F1" w:rsidP="00555CD3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Yes, it dealt with an issue involving a custodial statement taken from a minor and whether the </w:t>
      </w:r>
      <w:r>
        <w:rPr>
          <w:rFonts w:eastAsia="Times New Roman" w:cs="Times New Roman"/>
          <w:bCs/>
          <w:i/>
          <w:iCs/>
          <w:sz w:val="28"/>
          <w:szCs w:val="28"/>
        </w:rPr>
        <w:t>Riley</w:t>
      </w:r>
      <w:r>
        <w:rPr>
          <w:rFonts w:eastAsia="Times New Roman" w:cs="Times New Roman"/>
          <w:bCs/>
          <w:sz w:val="28"/>
          <w:szCs w:val="28"/>
        </w:rPr>
        <w:t xml:space="preserve"> rule remained viable as a separate standard for evaluating whether a custodial statement was admissible when the person in custody was a minor.</w:t>
      </w:r>
    </w:p>
    <w:p w14:paraId="7993FEAE" w14:textId="362C4B14" w:rsidR="00AF648B" w:rsidRDefault="000C12F1" w:rsidP="00555CD3">
      <w:pPr>
        <w:spacing w:after="200" w:line="480" w:lineRule="auto"/>
        <w:rPr>
          <w:rFonts w:eastAsia="Times New Roman" w:cs="Times New Roman"/>
          <w:bCs/>
          <w:i/>
          <w:iCs/>
          <w:sz w:val="28"/>
          <w:szCs w:val="28"/>
        </w:rPr>
      </w:pPr>
      <w:r>
        <w:rPr>
          <w:rFonts w:eastAsia="Times New Roman" w:cs="Times New Roman"/>
          <w:bCs/>
          <w:i/>
          <w:iCs/>
          <w:sz w:val="28"/>
          <w:szCs w:val="28"/>
        </w:rPr>
        <w:t xml:space="preserve">Yep.  I remember.  </w:t>
      </w:r>
      <w:proofErr w:type="spellStart"/>
      <w:r>
        <w:rPr>
          <w:rFonts w:eastAsia="Times New Roman" w:cs="Times New Roman"/>
          <w:bCs/>
          <w:i/>
          <w:iCs/>
          <w:sz w:val="28"/>
          <w:szCs w:val="28"/>
        </w:rPr>
        <w:t>Tanksley</w:t>
      </w:r>
      <w:proofErr w:type="spellEnd"/>
      <w:r w:rsidR="00C44EF1">
        <w:rPr>
          <w:rFonts w:eastAsia="Times New Roman" w:cs="Times New Roman"/>
          <w:bCs/>
          <w:i/>
          <w:iCs/>
          <w:sz w:val="28"/>
          <w:szCs w:val="28"/>
        </w:rPr>
        <w:t xml:space="preserve"> v. State</w:t>
      </w:r>
      <w:r w:rsidR="0059558F">
        <w:rPr>
          <w:rFonts w:eastAsia="Times New Roman" w:cs="Times New Roman"/>
          <w:bCs/>
          <w:i/>
          <w:iCs/>
          <w:sz w:val="28"/>
          <w:szCs w:val="28"/>
        </w:rPr>
        <w:t xml:space="preserve"> – Wade was overturned on appeal</w:t>
      </w:r>
      <w:r w:rsidR="00C44EF1">
        <w:rPr>
          <w:rFonts w:eastAsia="Times New Roman" w:cs="Times New Roman"/>
          <w:bCs/>
          <w:i/>
          <w:iCs/>
          <w:sz w:val="28"/>
          <w:szCs w:val="28"/>
        </w:rPr>
        <w:t>.</w:t>
      </w:r>
      <w:r w:rsidR="00C44EF1">
        <w:rPr>
          <w:rStyle w:val="EndnoteReference"/>
          <w:rFonts w:eastAsia="Times New Roman" w:cs="Times New Roman"/>
          <w:bCs/>
          <w:i/>
          <w:iCs/>
          <w:szCs w:val="28"/>
        </w:rPr>
        <w:endnoteReference w:id="1"/>
      </w:r>
      <w:r w:rsidR="00C44EF1">
        <w:rPr>
          <w:rFonts w:eastAsia="Times New Roman" w:cs="Times New Roman"/>
          <w:bCs/>
          <w:i/>
          <w:iCs/>
          <w:sz w:val="28"/>
          <w:szCs w:val="28"/>
        </w:rPr>
        <w:t xml:space="preserve">  </w:t>
      </w:r>
      <w:r w:rsidR="004134DA">
        <w:rPr>
          <w:rFonts w:eastAsia="Times New Roman" w:cs="Times New Roman"/>
          <w:bCs/>
          <w:i/>
          <w:iCs/>
          <w:sz w:val="28"/>
          <w:szCs w:val="28"/>
        </w:rPr>
        <w:t xml:space="preserve">Pretty rare occurrence – </w:t>
      </w:r>
      <w:proofErr w:type="spellStart"/>
      <w:r w:rsidR="004134DA">
        <w:rPr>
          <w:rFonts w:eastAsia="Times New Roman" w:cs="Times New Roman"/>
          <w:bCs/>
          <w:i/>
          <w:iCs/>
          <w:sz w:val="28"/>
          <w:szCs w:val="28"/>
        </w:rPr>
        <w:t>kinda</w:t>
      </w:r>
      <w:proofErr w:type="spellEnd"/>
      <w:r w:rsidR="004134DA">
        <w:rPr>
          <w:rFonts w:eastAsia="Times New Roman" w:cs="Times New Roman"/>
          <w:bCs/>
          <w:i/>
          <w:iCs/>
          <w:sz w:val="28"/>
          <w:szCs w:val="28"/>
        </w:rPr>
        <w:t xml:space="preserve">’ like Haley’s Comet,  </w:t>
      </w:r>
      <w:r w:rsidR="00C44EF1">
        <w:rPr>
          <w:rFonts w:eastAsia="Times New Roman" w:cs="Times New Roman"/>
          <w:bCs/>
          <w:i/>
          <w:iCs/>
          <w:sz w:val="28"/>
          <w:szCs w:val="28"/>
        </w:rPr>
        <w:t>Has something changed, Wade?</w:t>
      </w:r>
    </w:p>
    <w:p w14:paraId="04C26E30" w14:textId="285A31E9" w:rsidR="00C44EF1" w:rsidRDefault="00C44EF1" w:rsidP="00555CD3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lastRenderedPageBreak/>
        <w:t>Yes, it has.</w:t>
      </w:r>
      <w:r w:rsidR="00967F5B">
        <w:rPr>
          <w:rFonts w:eastAsia="Times New Roman" w:cs="Times New Roman"/>
          <w:bCs/>
          <w:sz w:val="28"/>
          <w:szCs w:val="28"/>
        </w:rPr>
        <w:t xml:space="preserve">  A January 2023 decision by the Supreme Court of Georgia has changed the landscape of the law dealing with custodial statements from minors and that’s our topic for today – custodial statements from minors.</w:t>
      </w:r>
    </w:p>
    <w:p w14:paraId="27398400" w14:textId="4EE57EB5" w:rsidR="0059558F" w:rsidRDefault="0059558F" w:rsidP="00555CD3">
      <w:pPr>
        <w:spacing w:after="200" w:line="480" w:lineRule="auto"/>
        <w:rPr>
          <w:rFonts w:eastAsia="Times New Roman" w:cs="Times New Roman"/>
          <w:bCs/>
          <w:i/>
          <w:iCs/>
          <w:sz w:val="28"/>
          <w:szCs w:val="28"/>
        </w:rPr>
      </w:pPr>
      <w:r>
        <w:rPr>
          <w:rFonts w:eastAsia="Times New Roman" w:cs="Times New Roman"/>
          <w:bCs/>
          <w:i/>
          <w:iCs/>
          <w:sz w:val="28"/>
          <w:szCs w:val="28"/>
        </w:rPr>
        <w:t>Does that mean you were actually right all along, Wade?</w:t>
      </w:r>
    </w:p>
    <w:p w14:paraId="553AC3D3" w14:textId="4A8077F5" w:rsidR="0059558F" w:rsidRPr="0059558F" w:rsidRDefault="0059558F" w:rsidP="00555CD3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Let’s leave that for others to determine, Tain.  But maybe….</w:t>
      </w:r>
    </w:p>
    <w:p w14:paraId="37560A52" w14:textId="4EE9DD0D" w:rsidR="006B2D8E" w:rsidRPr="00C44EF1" w:rsidRDefault="006B2D8E" w:rsidP="00555CD3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pict w14:anchorId="452F9EBF">
          <v:rect id="_x0000_i1082" style="width:0;height:1.5pt" o:hralign="center" o:hrstd="t" o:hr="t" fillcolor="#a0a0a0" stroked="f"/>
        </w:pict>
      </w:r>
    </w:p>
    <w:p w14:paraId="78E9394F" w14:textId="7CD2297D" w:rsidR="00243C96" w:rsidRDefault="006B2D8E" w:rsidP="00555CD3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Before we start discussing the latest case, let’s review what the law had been relating to custodial statements from minors.</w:t>
      </w:r>
    </w:p>
    <w:p w14:paraId="258EA496" w14:textId="08934AB1" w:rsidR="006B2D8E" w:rsidRDefault="00F56BBE" w:rsidP="00555CD3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In any custodial statement that is challenged, the trial court is required to make a finding that the statement was freely and voluntarily made – usually in the context of a hearing commonly referred to as a </w:t>
      </w:r>
      <w:r>
        <w:rPr>
          <w:rFonts w:eastAsia="Times New Roman" w:cs="Times New Roman"/>
          <w:bCs/>
          <w:i/>
          <w:iCs/>
          <w:sz w:val="28"/>
          <w:szCs w:val="28"/>
        </w:rPr>
        <w:t>Jackson v. Denno</w:t>
      </w:r>
      <w:r>
        <w:rPr>
          <w:rFonts w:eastAsia="Times New Roman" w:cs="Times New Roman"/>
          <w:bCs/>
          <w:sz w:val="28"/>
          <w:szCs w:val="28"/>
        </w:rPr>
        <w:t xml:space="preserve"> Hearing.</w:t>
      </w:r>
    </w:p>
    <w:p w14:paraId="15A529DE" w14:textId="43C825BA" w:rsidR="00F56BBE" w:rsidRDefault="00F56BBE" w:rsidP="00555CD3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Under </w:t>
      </w:r>
      <w:r>
        <w:rPr>
          <w:rFonts w:eastAsia="Times New Roman" w:cs="Times New Roman"/>
          <w:bCs/>
          <w:i/>
          <w:iCs/>
          <w:sz w:val="28"/>
          <w:szCs w:val="28"/>
        </w:rPr>
        <w:t>Miranda</w:t>
      </w:r>
      <w:r>
        <w:rPr>
          <w:rFonts w:eastAsia="Times New Roman" w:cs="Times New Roman"/>
          <w:bCs/>
          <w:sz w:val="28"/>
          <w:szCs w:val="28"/>
        </w:rPr>
        <w:t xml:space="preserve"> and other cases dealing with custodial statements, the trial court is required to make a very specific finding:</w:t>
      </w:r>
    </w:p>
    <w:p w14:paraId="705C2982" w14:textId="348382B2" w:rsidR="00F56BBE" w:rsidRDefault="00E72002" w:rsidP="00E72002">
      <w:pPr>
        <w:spacing w:after="200" w:line="480" w:lineRule="auto"/>
        <w:ind w:left="720"/>
        <w:rPr>
          <w:rFonts w:eastAsia="Times New Roman" w:cs="Times New Roman"/>
          <w:bCs/>
          <w:sz w:val="28"/>
          <w:szCs w:val="28"/>
        </w:rPr>
      </w:pPr>
      <w:r w:rsidRPr="00E72002">
        <w:rPr>
          <w:rFonts w:eastAsia="Times New Roman" w:cs="Times New Roman"/>
          <w:bCs/>
          <w:sz w:val="28"/>
          <w:szCs w:val="28"/>
        </w:rPr>
        <w:t>“</w:t>
      </w:r>
      <w:r w:rsidRPr="00E72002">
        <w:rPr>
          <w:rFonts w:eastAsia="Times New Roman" w:cs="Times New Roman"/>
          <w:b/>
          <w:bCs/>
          <w:sz w:val="28"/>
          <w:szCs w:val="28"/>
        </w:rPr>
        <w:t xml:space="preserve">I find from a preponderance of the evidence that the defendant was advised of each of his </w:t>
      </w:r>
      <w:r w:rsidRPr="00E72002">
        <w:rPr>
          <w:rFonts w:eastAsia="Times New Roman" w:cs="Times New Roman"/>
          <w:b/>
          <w:bCs/>
          <w:i/>
          <w:iCs/>
          <w:sz w:val="28"/>
          <w:szCs w:val="28"/>
        </w:rPr>
        <w:t>Miranda</w:t>
      </w:r>
      <w:r w:rsidRPr="00E72002">
        <w:rPr>
          <w:rFonts w:eastAsia="Times New Roman" w:cs="Times New Roman"/>
          <w:b/>
          <w:bCs/>
          <w:sz w:val="28"/>
          <w:szCs w:val="28"/>
        </w:rPr>
        <w:t xml:space="preserve"> rights, that he understood them, that he voluntarily waived them, and that he thereafter gave his statement freely and voluntarily without any hope of benefit or fear of injury. (If </w:t>
      </w:r>
      <w:r w:rsidRPr="00E72002">
        <w:rPr>
          <w:rFonts w:eastAsia="Times New Roman" w:cs="Times New Roman"/>
          <w:b/>
          <w:bCs/>
          <w:sz w:val="28"/>
          <w:szCs w:val="28"/>
        </w:rPr>
        <w:lastRenderedPageBreak/>
        <w:t xml:space="preserve">the defendant denies having been advised of any one of his </w:t>
      </w:r>
      <w:r w:rsidRPr="00E72002">
        <w:rPr>
          <w:rFonts w:eastAsia="Times New Roman" w:cs="Times New Roman"/>
          <w:b/>
          <w:bCs/>
          <w:i/>
          <w:iCs/>
          <w:sz w:val="28"/>
          <w:szCs w:val="28"/>
        </w:rPr>
        <w:t>Miranda</w:t>
      </w:r>
      <w:r w:rsidRPr="00E72002">
        <w:rPr>
          <w:rFonts w:eastAsia="Times New Roman" w:cs="Times New Roman"/>
          <w:b/>
          <w:bCs/>
          <w:sz w:val="28"/>
          <w:szCs w:val="28"/>
        </w:rPr>
        <w:t xml:space="preserve"> rights or says that he requested an attorney, specific findings as to the point in controversy should also be made)</w:t>
      </w:r>
      <w:r w:rsidRPr="00E72002">
        <w:rPr>
          <w:rFonts w:eastAsia="Times New Roman" w:cs="Times New Roman"/>
          <w:bCs/>
          <w:sz w:val="28"/>
          <w:szCs w:val="28"/>
        </w:rPr>
        <w:t>.”</w:t>
      </w:r>
      <w:r w:rsidRPr="00E72002">
        <w:rPr>
          <w:rFonts w:eastAsia="Times New Roman" w:cs="Times New Roman"/>
          <w:b/>
          <w:bCs/>
          <w:sz w:val="28"/>
          <w:szCs w:val="28"/>
          <w:vertAlign w:val="superscript"/>
        </w:rPr>
        <w:endnoteReference w:id="2"/>
      </w:r>
    </w:p>
    <w:p w14:paraId="3439BBA2" w14:textId="56942A11" w:rsidR="00E72002" w:rsidRDefault="00E72002" w:rsidP="00E72002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That “suggested” finding that was “suggested” by our appellate courts is specifically set out in our trial notebooks we supply to every new Superior Court judge.</w:t>
      </w:r>
    </w:p>
    <w:p w14:paraId="0D1EB07C" w14:textId="6BCA5694" w:rsidR="00E72002" w:rsidRDefault="00E72002" w:rsidP="004134DA">
      <w:pPr>
        <w:spacing w:after="200" w:line="480" w:lineRule="auto"/>
        <w:ind w:left="720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Those findings are generally </w:t>
      </w:r>
      <w:r w:rsidR="004134DA">
        <w:rPr>
          <w:rFonts w:eastAsia="Times New Roman" w:cs="Times New Roman"/>
          <w:bCs/>
          <w:sz w:val="28"/>
          <w:szCs w:val="28"/>
        </w:rPr>
        <w:t>required for any custodial statement can be admitted in trial</w:t>
      </w:r>
      <w:r>
        <w:rPr>
          <w:rFonts w:eastAsia="Times New Roman" w:cs="Times New Roman"/>
          <w:bCs/>
          <w:sz w:val="28"/>
          <w:szCs w:val="28"/>
        </w:rPr>
        <w:t xml:space="preserve"> – regardless of the age of the defendant</w:t>
      </w:r>
    </w:p>
    <w:p w14:paraId="35869A61" w14:textId="3897886A" w:rsidR="00E72002" w:rsidRDefault="00E72002" w:rsidP="00E72002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However, when the person making the statement is a minor, a body of law that began with the decision in </w:t>
      </w:r>
      <w:r>
        <w:rPr>
          <w:rFonts w:eastAsia="Times New Roman" w:cs="Times New Roman"/>
          <w:bCs/>
          <w:i/>
          <w:iCs/>
          <w:sz w:val="28"/>
          <w:szCs w:val="28"/>
        </w:rPr>
        <w:t>Riley v. State</w:t>
      </w:r>
      <w:r>
        <w:rPr>
          <w:rStyle w:val="EndnoteReference"/>
          <w:rFonts w:eastAsia="Times New Roman" w:cs="Times New Roman"/>
          <w:bCs/>
          <w:i/>
          <w:iCs/>
          <w:szCs w:val="28"/>
        </w:rPr>
        <w:endnoteReference w:id="3"/>
      </w:r>
      <w:r>
        <w:rPr>
          <w:rFonts w:eastAsia="Times New Roman" w:cs="Times New Roman"/>
          <w:bCs/>
          <w:sz w:val="28"/>
          <w:szCs w:val="28"/>
        </w:rPr>
        <w:t xml:space="preserve"> suggested that there were very specific findings that had to be made.</w:t>
      </w:r>
    </w:p>
    <w:p w14:paraId="28591E64" w14:textId="6B490E69" w:rsidR="007365B5" w:rsidRDefault="007365B5" w:rsidP="00E72002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pict w14:anchorId="2DC4A05E">
          <v:rect id="_x0000_i1084" style="width:0;height:1.5pt" o:hralign="center" o:hrstd="t" o:hr="t" fillcolor="#a0a0a0" stroked="f"/>
        </w:pict>
      </w:r>
    </w:p>
    <w:p w14:paraId="3A5B39A5" w14:textId="79545673" w:rsidR="007365B5" w:rsidRDefault="007365B5" w:rsidP="00E72002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In what became known as “the </w:t>
      </w:r>
      <w:r>
        <w:rPr>
          <w:rFonts w:eastAsia="Times New Roman" w:cs="Times New Roman"/>
          <w:bCs/>
          <w:i/>
          <w:iCs/>
          <w:sz w:val="28"/>
          <w:szCs w:val="28"/>
        </w:rPr>
        <w:t>Riley</w:t>
      </w:r>
      <w:r>
        <w:rPr>
          <w:rFonts w:eastAsia="Times New Roman" w:cs="Times New Roman"/>
          <w:bCs/>
          <w:sz w:val="28"/>
          <w:szCs w:val="28"/>
        </w:rPr>
        <w:t xml:space="preserve"> factors,” there were 9 specific findings that had to be analyzed when the person making the statement was a minor:</w:t>
      </w:r>
    </w:p>
    <w:p w14:paraId="33857B8E" w14:textId="6CBAD14C" w:rsidR="007365B5" w:rsidRDefault="007365B5" w:rsidP="007365B5">
      <w:pPr>
        <w:spacing w:after="200" w:line="480" w:lineRule="auto"/>
        <w:ind w:left="720"/>
        <w:rPr>
          <w:rFonts w:eastAsia="Times New Roman" w:cs="Times New Roman"/>
          <w:bCs/>
          <w:sz w:val="28"/>
          <w:szCs w:val="28"/>
        </w:rPr>
      </w:pPr>
      <w:r w:rsidRPr="007365B5">
        <w:rPr>
          <w:rFonts w:eastAsia="Times New Roman" w:cs="Times New Roman"/>
          <w:bCs/>
          <w:sz w:val="28"/>
          <w:szCs w:val="28"/>
        </w:rPr>
        <w:t xml:space="preserve">These are “(1) age of the accused; (2) education of the accused; (3) knowledge of the accused as to both the substance of the charge ... and the nature of his rights to consult with an attorney and remain silent; (4) whether the accused is held incommunicado or allowed to consult with relatives, </w:t>
      </w:r>
      <w:r w:rsidRPr="007365B5">
        <w:rPr>
          <w:rFonts w:eastAsia="Times New Roman" w:cs="Times New Roman"/>
          <w:bCs/>
          <w:sz w:val="28"/>
          <w:szCs w:val="28"/>
        </w:rPr>
        <w:lastRenderedPageBreak/>
        <w:t>friends or an attorney; (5) whether the accused was interrogated before or after formal charges had been filed; (6) methods used in interrogation; (7) length of interrogations; (8) whether vel non the accused refused to voluntarily give statements on prior occasions; and (9) whether the accused has repudiated an extra judicial statement at a later date.”</w:t>
      </w:r>
      <w:r>
        <w:rPr>
          <w:rStyle w:val="EndnoteReference"/>
          <w:rFonts w:eastAsia="Times New Roman" w:cs="Times New Roman"/>
          <w:bCs/>
          <w:szCs w:val="28"/>
        </w:rPr>
        <w:endnoteReference w:id="4"/>
      </w:r>
    </w:p>
    <w:p w14:paraId="55FC33E3" w14:textId="5E01C003" w:rsidR="007365B5" w:rsidRDefault="007365B5" w:rsidP="007365B5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Prior to </w:t>
      </w:r>
      <w:r>
        <w:rPr>
          <w:rFonts w:eastAsia="Times New Roman" w:cs="Times New Roman"/>
          <w:bCs/>
          <w:i/>
          <w:iCs/>
          <w:sz w:val="28"/>
          <w:szCs w:val="28"/>
        </w:rPr>
        <w:t>Riley</w:t>
      </w:r>
      <w:r>
        <w:rPr>
          <w:rFonts w:eastAsia="Times New Roman" w:cs="Times New Roman"/>
          <w:bCs/>
          <w:sz w:val="28"/>
          <w:szCs w:val="28"/>
        </w:rPr>
        <w:t>, the Georgia case law was all over the place concerning custodial statements by minors, including some Court of Appeals decisions that automatically excluded all custodial statements made by minors.</w:t>
      </w:r>
      <w:r w:rsidR="00475AF1">
        <w:rPr>
          <w:rStyle w:val="EndnoteReference"/>
          <w:rFonts w:eastAsia="Times New Roman" w:cs="Times New Roman"/>
          <w:bCs/>
          <w:szCs w:val="28"/>
        </w:rPr>
        <w:endnoteReference w:id="5"/>
      </w:r>
    </w:p>
    <w:p w14:paraId="043018D9" w14:textId="67613996" w:rsidR="00475AF1" w:rsidRPr="00475AF1" w:rsidRDefault="00475AF1" w:rsidP="007365B5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The </w:t>
      </w:r>
      <w:r>
        <w:rPr>
          <w:rFonts w:eastAsia="Times New Roman" w:cs="Times New Roman"/>
          <w:bCs/>
          <w:i/>
          <w:iCs/>
          <w:sz w:val="28"/>
          <w:szCs w:val="28"/>
        </w:rPr>
        <w:t>Riley</w:t>
      </w:r>
      <w:r>
        <w:rPr>
          <w:rFonts w:eastAsia="Times New Roman" w:cs="Times New Roman"/>
          <w:bCs/>
          <w:sz w:val="28"/>
          <w:szCs w:val="28"/>
        </w:rPr>
        <w:t xml:space="preserve"> Court adopted some case law from the 5</w:t>
      </w:r>
      <w:r w:rsidRPr="00475AF1">
        <w:rPr>
          <w:rFonts w:eastAsia="Times New Roman" w:cs="Times New Roman"/>
          <w:bCs/>
          <w:sz w:val="28"/>
          <w:szCs w:val="28"/>
          <w:vertAlign w:val="superscript"/>
        </w:rPr>
        <w:t>th</w:t>
      </w:r>
      <w:r>
        <w:rPr>
          <w:rFonts w:eastAsia="Times New Roman" w:cs="Times New Roman"/>
          <w:bCs/>
          <w:sz w:val="28"/>
          <w:szCs w:val="28"/>
        </w:rPr>
        <w:t xml:space="preserve"> Circuit in establishing those 9 “</w:t>
      </w:r>
      <w:r>
        <w:rPr>
          <w:rFonts w:eastAsia="Times New Roman" w:cs="Times New Roman"/>
          <w:bCs/>
          <w:i/>
          <w:iCs/>
          <w:sz w:val="28"/>
          <w:szCs w:val="28"/>
        </w:rPr>
        <w:t>Riley</w:t>
      </w:r>
      <w:r>
        <w:rPr>
          <w:rFonts w:eastAsia="Times New Roman" w:cs="Times New Roman"/>
          <w:bCs/>
          <w:sz w:val="28"/>
          <w:szCs w:val="28"/>
        </w:rPr>
        <w:t xml:space="preserve"> Factors.”</w:t>
      </w:r>
      <w:r>
        <w:rPr>
          <w:rStyle w:val="EndnoteReference"/>
          <w:rFonts w:eastAsia="Times New Roman" w:cs="Times New Roman"/>
          <w:bCs/>
          <w:szCs w:val="28"/>
        </w:rPr>
        <w:endnoteReference w:id="6"/>
      </w:r>
    </w:p>
    <w:p w14:paraId="7A255BF4" w14:textId="5F506E31" w:rsidR="00342D14" w:rsidRDefault="00342D14" w:rsidP="00E72002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pict w14:anchorId="576BD828">
          <v:rect id="_x0000_i1083" style="width:0;height:1.5pt" o:hralign="center" o:hrstd="t" o:hr="t" fillcolor="#a0a0a0" stroked="f"/>
        </w:pict>
      </w:r>
    </w:p>
    <w:p w14:paraId="0548760A" w14:textId="36F226DA" w:rsidR="0059558F" w:rsidRDefault="00342D14" w:rsidP="0059558F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It appeared that the justices on the Ga. Supreme Court began to have serious questions about the continued validity of </w:t>
      </w:r>
      <w:r>
        <w:rPr>
          <w:rFonts w:eastAsia="Times New Roman" w:cs="Times New Roman"/>
          <w:bCs/>
          <w:i/>
          <w:iCs/>
          <w:sz w:val="28"/>
          <w:szCs w:val="28"/>
        </w:rPr>
        <w:t>Riley</w:t>
      </w:r>
      <w:r>
        <w:rPr>
          <w:rFonts w:eastAsia="Times New Roman" w:cs="Times New Roman"/>
          <w:bCs/>
          <w:sz w:val="28"/>
          <w:szCs w:val="28"/>
        </w:rPr>
        <w:t xml:space="preserve"> when they decided </w:t>
      </w:r>
      <w:r>
        <w:rPr>
          <w:rFonts w:eastAsia="Times New Roman" w:cs="Times New Roman"/>
          <w:bCs/>
          <w:i/>
          <w:iCs/>
          <w:sz w:val="28"/>
          <w:szCs w:val="28"/>
        </w:rPr>
        <w:t>State v. Burton</w:t>
      </w:r>
      <w:r w:rsidR="0059558F">
        <w:rPr>
          <w:rFonts w:eastAsia="Times New Roman" w:cs="Times New Roman"/>
          <w:bCs/>
          <w:sz w:val="28"/>
          <w:szCs w:val="28"/>
        </w:rPr>
        <w:t xml:space="preserve"> in 2022</w:t>
      </w:r>
      <w:r>
        <w:rPr>
          <w:rFonts w:eastAsia="Times New Roman" w:cs="Times New Roman"/>
          <w:bCs/>
          <w:sz w:val="28"/>
          <w:szCs w:val="28"/>
        </w:rPr>
        <w:t>.</w:t>
      </w:r>
      <w:r>
        <w:rPr>
          <w:rStyle w:val="EndnoteReference"/>
          <w:rFonts w:eastAsia="Times New Roman" w:cs="Times New Roman"/>
          <w:bCs/>
          <w:szCs w:val="28"/>
        </w:rPr>
        <w:endnoteReference w:id="7"/>
      </w:r>
      <w:r>
        <w:rPr>
          <w:rFonts w:eastAsia="Times New Roman" w:cs="Times New Roman"/>
          <w:bCs/>
          <w:sz w:val="28"/>
          <w:szCs w:val="28"/>
        </w:rPr>
        <w:t xml:space="preserve">  </w:t>
      </w:r>
    </w:p>
    <w:p w14:paraId="458A09AD" w14:textId="02C950DE" w:rsidR="00342D14" w:rsidRDefault="00342D14" w:rsidP="0059558F">
      <w:pPr>
        <w:spacing w:after="200" w:line="480" w:lineRule="auto"/>
        <w:ind w:left="720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As FOP Ben </w:t>
      </w:r>
      <w:proofErr w:type="spellStart"/>
      <w:r>
        <w:rPr>
          <w:rFonts w:eastAsia="Times New Roman" w:cs="Times New Roman"/>
          <w:bCs/>
          <w:sz w:val="28"/>
          <w:szCs w:val="28"/>
        </w:rPr>
        <w:t>Studdard</w:t>
      </w:r>
      <w:proofErr w:type="spellEnd"/>
      <w:r>
        <w:rPr>
          <w:rFonts w:eastAsia="Times New Roman" w:cs="Times New Roman"/>
          <w:bCs/>
          <w:sz w:val="28"/>
          <w:szCs w:val="28"/>
        </w:rPr>
        <w:t xml:space="preserve"> noted in a recent publication, in the </w:t>
      </w:r>
      <w:r>
        <w:rPr>
          <w:rFonts w:eastAsia="Times New Roman" w:cs="Times New Roman"/>
          <w:bCs/>
          <w:i/>
          <w:iCs/>
          <w:sz w:val="28"/>
          <w:szCs w:val="28"/>
        </w:rPr>
        <w:t>Burton</w:t>
      </w:r>
      <w:r>
        <w:rPr>
          <w:rFonts w:eastAsia="Times New Roman" w:cs="Times New Roman"/>
          <w:bCs/>
          <w:sz w:val="28"/>
          <w:szCs w:val="28"/>
        </w:rPr>
        <w:t xml:space="preserve"> decision, 6 of the 9 justices either concurred or dissented and those opinions suggested that those justices thought that </w:t>
      </w:r>
      <w:r>
        <w:rPr>
          <w:rFonts w:eastAsia="Times New Roman" w:cs="Times New Roman"/>
          <w:bCs/>
          <w:i/>
          <w:iCs/>
          <w:sz w:val="28"/>
          <w:szCs w:val="28"/>
        </w:rPr>
        <w:t xml:space="preserve">Riley </w:t>
      </w:r>
      <w:r>
        <w:rPr>
          <w:rFonts w:eastAsia="Times New Roman" w:cs="Times New Roman"/>
          <w:bCs/>
          <w:sz w:val="28"/>
          <w:szCs w:val="28"/>
        </w:rPr>
        <w:t>should be overruled.</w:t>
      </w:r>
    </w:p>
    <w:p w14:paraId="002FF5B2" w14:textId="4A613058" w:rsidR="0059558F" w:rsidRDefault="0059558F" w:rsidP="0059558F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lastRenderedPageBreak/>
        <w:t xml:space="preserve">Finally, in </w:t>
      </w:r>
      <w:r>
        <w:rPr>
          <w:rFonts w:eastAsia="Times New Roman" w:cs="Times New Roman"/>
          <w:bCs/>
          <w:i/>
          <w:iCs/>
          <w:sz w:val="28"/>
          <w:szCs w:val="28"/>
        </w:rPr>
        <w:t>Clark v. State</w:t>
      </w:r>
      <w:r>
        <w:rPr>
          <w:rFonts w:eastAsia="Times New Roman" w:cs="Times New Roman"/>
          <w:bCs/>
          <w:sz w:val="28"/>
          <w:szCs w:val="28"/>
        </w:rPr>
        <w:t xml:space="preserve">, an opinion issued in January 2023, </w:t>
      </w:r>
      <w:r>
        <w:rPr>
          <w:rFonts w:eastAsia="Times New Roman" w:cs="Times New Roman"/>
          <w:bCs/>
          <w:i/>
          <w:iCs/>
          <w:sz w:val="28"/>
          <w:szCs w:val="28"/>
        </w:rPr>
        <w:t xml:space="preserve">Riley </w:t>
      </w:r>
      <w:r>
        <w:rPr>
          <w:rFonts w:eastAsia="Times New Roman" w:cs="Times New Roman"/>
          <w:bCs/>
          <w:sz w:val="28"/>
          <w:szCs w:val="28"/>
        </w:rPr>
        <w:t xml:space="preserve"> was overturned.</w:t>
      </w:r>
      <w:r>
        <w:rPr>
          <w:rStyle w:val="EndnoteReference"/>
          <w:rFonts w:eastAsia="Times New Roman" w:cs="Times New Roman"/>
          <w:bCs/>
          <w:szCs w:val="28"/>
        </w:rPr>
        <w:endnoteReference w:id="8"/>
      </w:r>
      <w:r w:rsidR="00BE126E">
        <w:rPr>
          <w:rFonts w:eastAsia="Times New Roman" w:cs="Times New Roman"/>
          <w:bCs/>
          <w:sz w:val="28"/>
          <w:szCs w:val="28"/>
        </w:rPr>
        <w:t xml:space="preserve">  </w:t>
      </w:r>
      <w:proofErr w:type="spellStart"/>
      <w:r w:rsidR="00BE126E">
        <w:rPr>
          <w:rFonts w:eastAsia="Times New Roman" w:cs="Times New Roman"/>
          <w:bCs/>
          <w:sz w:val="28"/>
          <w:szCs w:val="28"/>
        </w:rPr>
        <w:t>Kinda</w:t>
      </w:r>
      <w:proofErr w:type="spellEnd"/>
      <w:r w:rsidR="00BE126E">
        <w:rPr>
          <w:rFonts w:eastAsia="Times New Roman" w:cs="Times New Roman"/>
          <w:bCs/>
          <w:sz w:val="28"/>
          <w:szCs w:val="28"/>
        </w:rPr>
        <w:t xml:space="preserve">’.  Stay with us </w:t>
      </w:r>
      <w:r w:rsidR="00573E3C">
        <w:rPr>
          <w:rFonts w:eastAsia="Times New Roman" w:cs="Times New Roman"/>
          <w:bCs/>
          <w:sz w:val="28"/>
          <w:szCs w:val="28"/>
        </w:rPr>
        <w:t>–</w:t>
      </w:r>
      <w:r w:rsidR="00BE126E">
        <w:rPr>
          <w:rFonts w:eastAsia="Times New Roman" w:cs="Times New Roman"/>
          <w:bCs/>
          <w:sz w:val="28"/>
          <w:szCs w:val="28"/>
        </w:rPr>
        <w:t xml:space="preserve"> </w:t>
      </w:r>
      <w:r w:rsidR="00573E3C">
        <w:rPr>
          <w:rFonts w:eastAsia="Times New Roman" w:cs="Times New Roman"/>
          <w:bCs/>
          <w:sz w:val="28"/>
          <w:szCs w:val="28"/>
        </w:rPr>
        <w:t>we will land this plane and it will all make sense</w:t>
      </w:r>
    </w:p>
    <w:p w14:paraId="7E9D8167" w14:textId="412493EA" w:rsidR="00573E3C" w:rsidRDefault="00573E3C" w:rsidP="0059558F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pict w14:anchorId="320D3E87">
          <v:rect id="_x0000_i1101" style="width:0;height:1.5pt" o:hralign="center" o:hrstd="t" o:hr="t" fillcolor="#a0a0a0" stroked="f"/>
        </w:pict>
      </w:r>
    </w:p>
    <w:p w14:paraId="4831664F" w14:textId="77777777" w:rsidR="00573E3C" w:rsidRDefault="00573E3C" w:rsidP="00573E3C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The whole exercise in determining whether any custodial statement is admissible is an analysis of the totality of the circumstances surrounding the making of the statement.  </w:t>
      </w:r>
    </w:p>
    <w:p w14:paraId="26A560C4" w14:textId="0D887D08" w:rsidR="00573E3C" w:rsidRDefault="00573E3C" w:rsidP="00573E3C">
      <w:pPr>
        <w:spacing w:after="200" w:line="480" w:lineRule="auto"/>
        <w:ind w:left="720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To somehow limit (or expand) the factors that make up the totality of the circumstances when dealing with a juvenile defendant seemed a bit non-sensical.</w:t>
      </w:r>
    </w:p>
    <w:p w14:paraId="6D7C1AFA" w14:textId="317E1359" w:rsidR="00573E3C" w:rsidRDefault="00573E3C" w:rsidP="00573E3C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 w:rsidRPr="002C5BD4">
        <w:rPr>
          <w:rFonts w:eastAsia="Times New Roman" w:cs="Times New Roman"/>
          <w:bCs/>
          <w:sz w:val="28"/>
          <w:szCs w:val="28"/>
        </w:rPr>
        <w:t>“This totality-of-the-circumstances approach is adequate to determine whether there has been a waiver even where interrogation of juveniles is involved.”</w:t>
      </w:r>
      <w:r>
        <w:rPr>
          <w:rStyle w:val="EndnoteReference"/>
          <w:rFonts w:eastAsia="Times New Roman" w:cs="Times New Roman"/>
          <w:bCs/>
          <w:szCs w:val="28"/>
        </w:rPr>
        <w:endnoteReference w:id="9"/>
      </w:r>
    </w:p>
    <w:p w14:paraId="14597C26" w14:textId="128CE781" w:rsidR="00475AF1" w:rsidRDefault="00475AF1" w:rsidP="0059558F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pict w14:anchorId="508B7ED1">
          <v:rect id="_x0000_i1085" style="width:0;height:1.5pt" o:hralign="center" o:hrstd="t" o:hr="t" fillcolor="#a0a0a0" stroked="f"/>
        </w:pict>
      </w:r>
    </w:p>
    <w:p w14:paraId="0DD5B593" w14:textId="06F05BA2" w:rsidR="00475AF1" w:rsidRDefault="00475AF1" w:rsidP="0059558F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So why was </w:t>
      </w:r>
      <w:r>
        <w:rPr>
          <w:rFonts w:eastAsia="Times New Roman" w:cs="Times New Roman"/>
          <w:bCs/>
          <w:i/>
          <w:iCs/>
          <w:sz w:val="28"/>
          <w:szCs w:val="28"/>
        </w:rPr>
        <w:t>Riley</w:t>
      </w:r>
      <w:r>
        <w:rPr>
          <w:rFonts w:eastAsia="Times New Roman" w:cs="Times New Roman"/>
          <w:bCs/>
          <w:sz w:val="28"/>
          <w:szCs w:val="28"/>
        </w:rPr>
        <w:t xml:space="preserve"> overturned by </w:t>
      </w:r>
      <w:r>
        <w:rPr>
          <w:rFonts w:eastAsia="Times New Roman" w:cs="Times New Roman"/>
          <w:bCs/>
          <w:i/>
          <w:iCs/>
          <w:sz w:val="28"/>
          <w:szCs w:val="28"/>
        </w:rPr>
        <w:t>Clark</w:t>
      </w:r>
      <w:r>
        <w:rPr>
          <w:rFonts w:eastAsia="Times New Roman" w:cs="Times New Roman"/>
          <w:bCs/>
          <w:sz w:val="28"/>
          <w:szCs w:val="28"/>
        </w:rPr>
        <w:t>?</w:t>
      </w:r>
    </w:p>
    <w:p w14:paraId="4DF80AFA" w14:textId="58539E1D" w:rsidR="00A763E3" w:rsidRDefault="00A763E3" w:rsidP="00A763E3">
      <w:pPr>
        <w:spacing w:after="200" w:line="480" w:lineRule="auto"/>
        <w:ind w:left="720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In all candor, </w:t>
      </w:r>
      <w:r>
        <w:rPr>
          <w:rFonts w:eastAsia="Times New Roman" w:cs="Times New Roman"/>
          <w:bCs/>
          <w:i/>
          <w:iCs/>
          <w:sz w:val="28"/>
          <w:szCs w:val="28"/>
        </w:rPr>
        <w:t xml:space="preserve">Riley </w:t>
      </w:r>
      <w:r>
        <w:rPr>
          <w:rFonts w:eastAsia="Times New Roman" w:cs="Times New Roman"/>
          <w:bCs/>
          <w:sz w:val="28"/>
          <w:szCs w:val="28"/>
        </w:rPr>
        <w:t xml:space="preserve">was overturned but the principles behind the decision in </w:t>
      </w:r>
      <w:r>
        <w:rPr>
          <w:rFonts w:eastAsia="Times New Roman" w:cs="Times New Roman"/>
          <w:bCs/>
          <w:i/>
          <w:iCs/>
          <w:sz w:val="28"/>
          <w:szCs w:val="28"/>
        </w:rPr>
        <w:t>Riley</w:t>
      </w:r>
      <w:r>
        <w:rPr>
          <w:rFonts w:eastAsia="Times New Roman" w:cs="Times New Roman"/>
          <w:bCs/>
          <w:sz w:val="28"/>
          <w:szCs w:val="28"/>
        </w:rPr>
        <w:t xml:space="preserve"> w</w:t>
      </w:r>
      <w:r w:rsidR="00BE126E">
        <w:rPr>
          <w:rFonts w:eastAsia="Times New Roman" w:cs="Times New Roman"/>
          <w:bCs/>
          <w:sz w:val="28"/>
          <w:szCs w:val="28"/>
        </w:rPr>
        <w:t>ere</w:t>
      </w:r>
      <w:r>
        <w:rPr>
          <w:rFonts w:eastAsia="Times New Roman" w:cs="Times New Roman"/>
          <w:bCs/>
          <w:sz w:val="28"/>
          <w:szCs w:val="28"/>
        </w:rPr>
        <w:t xml:space="preserve"> reaffirmed.  Bear with us – we can explain.</w:t>
      </w:r>
    </w:p>
    <w:p w14:paraId="0FE06D24" w14:textId="4025B050" w:rsidR="00A763E3" w:rsidRDefault="00A763E3" w:rsidP="00A763E3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lastRenderedPageBreak/>
        <w:t xml:space="preserve">Maybe it is best to quote a paragraph from the </w:t>
      </w:r>
      <w:r>
        <w:rPr>
          <w:rFonts w:eastAsia="Times New Roman" w:cs="Times New Roman"/>
          <w:bCs/>
          <w:i/>
          <w:iCs/>
          <w:sz w:val="28"/>
          <w:szCs w:val="28"/>
        </w:rPr>
        <w:t>Clark</w:t>
      </w:r>
      <w:r>
        <w:rPr>
          <w:rFonts w:eastAsia="Times New Roman" w:cs="Times New Roman"/>
          <w:bCs/>
          <w:sz w:val="28"/>
          <w:szCs w:val="28"/>
        </w:rPr>
        <w:t xml:space="preserve"> decision to begin the explanation:</w:t>
      </w:r>
    </w:p>
    <w:p w14:paraId="00E9C735" w14:textId="1AE5ABDC" w:rsidR="00A763E3" w:rsidRDefault="00682C97" w:rsidP="00682C97">
      <w:pPr>
        <w:spacing w:after="200" w:line="480" w:lineRule="auto"/>
        <w:ind w:left="720"/>
        <w:rPr>
          <w:rFonts w:eastAsia="Times New Roman" w:cs="Times New Roman"/>
          <w:bCs/>
          <w:sz w:val="28"/>
          <w:szCs w:val="28"/>
        </w:rPr>
      </w:pPr>
      <w:r w:rsidRPr="00682C97">
        <w:rPr>
          <w:rFonts w:eastAsia="Times New Roman" w:cs="Times New Roman"/>
          <w:bCs/>
          <w:sz w:val="28"/>
          <w:szCs w:val="28"/>
        </w:rPr>
        <w:t>Because the totality-of-the-circumstances test set forth in </w:t>
      </w:r>
      <w:r w:rsidRPr="00682C97">
        <w:rPr>
          <w:rFonts w:eastAsia="Times New Roman" w:cs="Times New Roman"/>
          <w:bCs/>
          <w:i/>
          <w:iCs/>
          <w:sz w:val="28"/>
          <w:szCs w:val="28"/>
        </w:rPr>
        <w:t>Riley</w:t>
      </w:r>
      <w:r w:rsidRPr="00682C97">
        <w:rPr>
          <w:rFonts w:eastAsia="Times New Roman" w:cs="Times New Roman"/>
          <w:bCs/>
          <w:sz w:val="28"/>
          <w:szCs w:val="28"/>
        </w:rPr>
        <w:t> and its progeny is consistent with United States Supreme Court precedent, we reaffirm that test today.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682C97">
        <w:rPr>
          <w:rFonts w:eastAsia="Times New Roman" w:cs="Times New Roman"/>
          <w:bCs/>
          <w:sz w:val="28"/>
          <w:szCs w:val="28"/>
        </w:rPr>
        <w:t>But, as discussed more below, language in </w:t>
      </w:r>
      <w:r w:rsidRPr="00682C97">
        <w:rPr>
          <w:rFonts w:eastAsia="Times New Roman" w:cs="Times New Roman"/>
          <w:bCs/>
          <w:i/>
          <w:iCs/>
          <w:sz w:val="28"/>
          <w:szCs w:val="28"/>
        </w:rPr>
        <w:t>Riley</w:t>
      </w:r>
      <w:r w:rsidRPr="00682C97">
        <w:rPr>
          <w:rFonts w:eastAsia="Times New Roman" w:cs="Times New Roman"/>
          <w:bCs/>
          <w:sz w:val="28"/>
          <w:szCs w:val="28"/>
        </w:rPr>
        <w:t xml:space="preserve"> and many of the cases that followed it also suggested that assessing the totality of the circumstances required applying a specific nine-factor framework. Because requiring application of a </w:t>
      </w:r>
      <w:r w:rsidRPr="00682C97">
        <w:rPr>
          <w:rFonts w:eastAsia="Times New Roman" w:cs="Times New Roman"/>
          <w:bCs/>
          <w:sz w:val="28"/>
          <w:szCs w:val="28"/>
          <w:u w:val="single"/>
        </w:rPr>
        <w:t>fixed</w:t>
      </w:r>
      <w:r w:rsidRPr="00682C97">
        <w:rPr>
          <w:rFonts w:eastAsia="Times New Roman" w:cs="Times New Roman"/>
          <w:bCs/>
          <w:sz w:val="28"/>
          <w:szCs w:val="28"/>
        </w:rPr>
        <w:t xml:space="preserve"> set of factors is inherently in tension with a totality-of-the-circumstances test, we disapprove any such language.</w:t>
      </w:r>
      <w:r>
        <w:rPr>
          <w:rFonts w:eastAsia="Times New Roman" w:cs="Times New Roman"/>
          <w:bCs/>
          <w:sz w:val="28"/>
          <w:szCs w:val="28"/>
        </w:rPr>
        <w:t xml:space="preserve"> (emphasis added)</w:t>
      </w:r>
      <w:r>
        <w:rPr>
          <w:rStyle w:val="EndnoteReference"/>
          <w:rFonts w:eastAsia="Times New Roman" w:cs="Times New Roman"/>
          <w:bCs/>
          <w:szCs w:val="28"/>
        </w:rPr>
        <w:endnoteReference w:id="10"/>
      </w:r>
    </w:p>
    <w:p w14:paraId="77FECAEB" w14:textId="4732E372" w:rsidR="00BE126E" w:rsidRDefault="00BE126E" w:rsidP="00BE126E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pict w14:anchorId="6D71F0E1">
          <v:rect id="_x0000_i1100" style="width:0;height:1.5pt" o:hralign="center" o:hrstd="t" o:hr="t" fillcolor="#a0a0a0" stroked="f"/>
        </w:pict>
      </w:r>
    </w:p>
    <w:p w14:paraId="3566C94E" w14:textId="77777777" w:rsidR="00573E3C" w:rsidRDefault="00682C97" w:rsidP="00682C97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The cases that followed </w:t>
      </w:r>
      <w:r>
        <w:rPr>
          <w:rFonts w:eastAsia="Times New Roman" w:cs="Times New Roman"/>
          <w:bCs/>
          <w:i/>
          <w:iCs/>
          <w:sz w:val="28"/>
          <w:szCs w:val="28"/>
        </w:rPr>
        <w:t>Riley</w:t>
      </w:r>
      <w:r>
        <w:rPr>
          <w:rFonts w:eastAsia="Times New Roman" w:cs="Times New Roman"/>
          <w:bCs/>
          <w:sz w:val="28"/>
          <w:szCs w:val="28"/>
        </w:rPr>
        <w:t xml:space="preserve"> had suggested that the 9 factors listed in </w:t>
      </w:r>
      <w:r>
        <w:rPr>
          <w:rFonts w:eastAsia="Times New Roman" w:cs="Times New Roman"/>
          <w:bCs/>
          <w:i/>
          <w:iCs/>
          <w:sz w:val="28"/>
          <w:szCs w:val="28"/>
        </w:rPr>
        <w:t>Riley</w:t>
      </w:r>
      <w:r>
        <w:rPr>
          <w:rFonts w:eastAsia="Times New Roman" w:cs="Times New Roman"/>
          <w:bCs/>
          <w:sz w:val="28"/>
          <w:szCs w:val="28"/>
        </w:rPr>
        <w:t xml:space="preserve"> were rigid and </w:t>
      </w:r>
      <w:r w:rsidR="00BE126E">
        <w:rPr>
          <w:rFonts w:eastAsia="Times New Roman" w:cs="Times New Roman"/>
          <w:bCs/>
          <w:sz w:val="28"/>
          <w:szCs w:val="28"/>
        </w:rPr>
        <w:t xml:space="preserve">some decisions suggested that the </w:t>
      </w:r>
      <w:r w:rsidR="00BE126E">
        <w:rPr>
          <w:rFonts w:eastAsia="Times New Roman" w:cs="Times New Roman"/>
          <w:bCs/>
          <w:i/>
          <w:iCs/>
          <w:sz w:val="28"/>
          <w:szCs w:val="28"/>
        </w:rPr>
        <w:t>Riley</w:t>
      </w:r>
      <w:r w:rsidR="00BE126E">
        <w:rPr>
          <w:rFonts w:eastAsia="Times New Roman" w:cs="Times New Roman"/>
          <w:bCs/>
          <w:sz w:val="28"/>
          <w:szCs w:val="28"/>
        </w:rPr>
        <w:t xml:space="preserve"> factors </w:t>
      </w:r>
      <w:r>
        <w:rPr>
          <w:rFonts w:eastAsia="Times New Roman" w:cs="Times New Roman"/>
          <w:bCs/>
          <w:sz w:val="28"/>
          <w:szCs w:val="28"/>
        </w:rPr>
        <w:t>were really the only factors to be considered</w:t>
      </w:r>
      <w:r w:rsidR="00573E3C">
        <w:rPr>
          <w:rFonts w:eastAsia="Times New Roman" w:cs="Times New Roman"/>
          <w:bCs/>
          <w:sz w:val="28"/>
          <w:szCs w:val="28"/>
        </w:rPr>
        <w:t xml:space="preserve"> when the person making the custodial statement was a minor</w:t>
      </w:r>
      <w:r>
        <w:rPr>
          <w:rFonts w:eastAsia="Times New Roman" w:cs="Times New Roman"/>
          <w:bCs/>
          <w:sz w:val="28"/>
          <w:szCs w:val="28"/>
        </w:rPr>
        <w:t xml:space="preserve">.  </w:t>
      </w:r>
    </w:p>
    <w:p w14:paraId="587D2C81" w14:textId="5D9E2E03" w:rsidR="00682C97" w:rsidRDefault="00682C97" w:rsidP="00573E3C">
      <w:pPr>
        <w:spacing w:after="200" w:line="480" w:lineRule="auto"/>
        <w:ind w:left="720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The Ga. Supreme Court held that any rule that limited a totality of the circumstances analysis to 9 specific factors renders it not a </w:t>
      </w:r>
      <w:r w:rsidR="00BE126E">
        <w:rPr>
          <w:rFonts w:eastAsia="Times New Roman" w:cs="Times New Roman"/>
          <w:bCs/>
          <w:sz w:val="28"/>
          <w:szCs w:val="28"/>
        </w:rPr>
        <w:t>“</w:t>
      </w:r>
      <w:r>
        <w:rPr>
          <w:rFonts w:eastAsia="Times New Roman" w:cs="Times New Roman"/>
          <w:bCs/>
          <w:sz w:val="28"/>
          <w:szCs w:val="28"/>
        </w:rPr>
        <w:t>totality</w:t>
      </w:r>
      <w:r w:rsidR="00BE126E">
        <w:rPr>
          <w:rFonts w:eastAsia="Times New Roman" w:cs="Times New Roman"/>
          <w:bCs/>
          <w:sz w:val="28"/>
          <w:szCs w:val="28"/>
        </w:rPr>
        <w:t xml:space="preserve"> of the circumstances”</w:t>
      </w:r>
      <w:r>
        <w:rPr>
          <w:rFonts w:eastAsia="Times New Roman" w:cs="Times New Roman"/>
          <w:bCs/>
          <w:sz w:val="28"/>
          <w:szCs w:val="28"/>
        </w:rPr>
        <w:t xml:space="preserve"> analysis.</w:t>
      </w:r>
    </w:p>
    <w:p w14:paraId="18580781" w14:textId="4A7DAAA4" w:rsidR="00573E3C" w:rsidRDefault="00573E3C" w:rsidP="00573E3C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lastRenderedPageBreak/>
        <w:t xml:space="preserve">The </w:t>
      </w:r>
      <w:r>
        <w:rPr>
          <w:rFonts w:eastAsia="Times New Roman" w:cs="Times New Roman"/>
          <w:bCs/>
          <w:i/>
          <w:iCs/>
          <w:sz w:val="28"/>
          <w:szCs w:val="28"/>
        </w:rPr>
        <w:t>Clark</w:t>
      </w:r>
      <w:r>
        <w:rPr>
          <w:rFonts w:eastAsia="Times New Roman" w:cs="Times New Roman"/>
          <w:bCs/>
          <w:sz w:val="28"/>
          <w:szCs w:val="28"/>
        </w:rPr>
        <w:t xml:space="preserve"> Court concluded by saying:</w:t>
      </w:r>
    </w:p>
    <w:p w14:paraId="5208290C" w14:textId="43847A12" w:rsidR="00573E3C" w:rsidRDefault="00573E3C" w:rsidP="00573E3C">
      <w:pPr>
        <w:spacing w:after="200" w:line="480" w:lineRule="auto"/>
        <w:ind w:left="720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“</w:t>
      </w:r>
      <w:r w:rsidRPr="00573E3C">
        <w:rPr>
          <w:rFonts w:eastAsia="Times New Roman" w:cs="Times New Roman"/>
          <w:bCs/>
          <w:sz w:val="28"/>
          <w:szCs w:val="28"/>
        </w:rPr>
        <w:t xml:space="preserve">Moreover, we make clear that Georgia trial courts should no longer look to that </w:t>
      </w:r>
      <w:r w:rsidR="00004E76">
        <w:rPr>
          <w:rFonts w:eastAsia="Times New Roman" w:cs="Times New Roman"/>
          <w:bCs/>
          <w:sz w:val="28"/>
          <w:szCs w:val="28"/>
        </w:rPr>
        <w:t>[</w:t>
      </w:r>
      <w:r w:rsidR="00004E76">
        <w:rPr>
          <w:rFonts w:eastAsia="Times New Roman" w:cs="Times New Roman"/>
          <w:bCs/>
          <w:i/>
          <w:iCs/>
          <w:sz w:val="28"/>
          <w:szCs w:val="28"/>
        </w:rPr>
        <w:t>Riley</w:t>
      </w:r>
      <w:r w:rsidR="00004E76">
        <w:rPr>
          <w:rFonts w:eastAsia="Times New Roman" w:cs="Times New Roman"/>
          <w:bCs/>
          <w:sz w:val="28"/>
          <w:szCs w:val="28"/>
        </w:rPr>
        <w:t xml:space="preserve">] </w:t>
      </w:r>
      <w:r w:rsidRPr="00573E3C">
        <w:rPr>
          <w:rFonts w:eastAsia="Times New Roman" w:cs="Times New Roman"/>
          <w:bCs/>
          <w:sz w:val="28"/>
          <w:szCs w:val="28"/>
        </w:rPr>
        <w:t>framework for determining, under the totality of the circumstances, whether a juvenile knowingly and voluntarily waived his rights under </w:t>
      </w:r>
      <w:r w:rsidRPr="00004E76">
        <w:rPr>
          <w:rFonts w:eastAsia="Times New Roman" w:cs="Times New Roman"/>
          <w:bCs/>
          <w:i/>
          <w:iCs/>
          <w:sz w:val="28"/>
          <w:szCs w:val="28"/>
        </w:rPr>
        <w:t>Miranda</w:t>
      </w:r>
      <w:r w:rsidRPr="00573E3C">
        <w:rPr>
          <w:rFonts w:eastAsia="Times New Roman" w:cs="Times New Roman"/>
          <w:bCs/>
          <w:sz w:val="28"/>
          <w:szCs w:val="28"/>
        </w:rPr>
        <w:t>. Rather, as we have explained above, the totality-of-the-circumstances test requires trial courts to consider all of the relevant circumstances surrounding a juvenile's interview with law enforcement officials to determine whether the State has met its burden of showing that the juvenile knowingly and voluntarily waived his rights.</w:t>
      </w:r>
      <w:r w:rsidR="00004E76">
        <w:rPr>
          <w:rFonts w:eastAsia="Times New Roman" w:cs="Times New Roman"/>
          <w:bCs/>
          <w:sz w:val="28"/>
          <w:szCs w:val="28"/>
        </w:rPr>
        <w:t>”</w:t>
      </w:r>
    </w:p>
    <w:p w14:paraId="4C4BD5B0" w14:textId="0B470C8C" w:rsidR="00004E76" w:rsidRDefault="00004E76" w:rsidP="00004E76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Stated another way, the trial court must look at the totality of the circumstances – everything – not just the 9 factors that made up </w:t>
      </w:r>
      <w:r>
        <w:rPr>
          <w:rFonts w:eastAsia="Times New Roman" w:cs="Times New Roman"/>
          <w:bCs/>
          <w:i/>
          <w:iCs/>
          <w:sz w:val="28"/>
          <w:szCs w:val="28"/>
        </w:rPr>
        <w:t>Riley</w:t>
      </w:r>
      <w:r>
        <w:rPr>
          <w:rFonts w:eastAsia="Times New Roman" w:cs="Times New Roman"/>
          <w:bCs/>
          <w:sz w:val="28"/>
          <w:szCs w:val="28"/>
        </w:rPr>
        <w:t>.</w:t>
      </w:r>
    </w:p>
    <w:p w14:paraId="36324968" w14:textId="77777777" w:rsidR="00004E76" w:rsidRDefault="00004E76" w:rsidP="00004E76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That means that the age of the defendant is relevant – so is the defendant’s level of education.  And everything else included in the old </w:t>
      </w:r>
      <w:r>
        <w:rPr>
          <w:rFonts w:eastAsia="Times New Roman" w:cs="Times New Roman"/>
          <w:bCs/>
          <w:i/>
          <w:iCs/>
          <w:sz w:val="28"/>
          <w:szCs w:val="28"/>
        </w:rPr>
        <w:t>Riley</w:t>
      </w:r>
      <w:r>
        <w:rPr>
          <w:rFonts w:eastAsia="Times New Roman" w:cs="Times New Roman"/>
          <w:bCs/>
          <w:sz w:val="28"/>
          <w:szCs w:val="28"/>
        </w:rPr>
        <w:t xml:space="preserve"> standards are all relevant.  </w:t>
      </w:r>
    </w:p>
    <w:p w14:paraId="37964D2C" w14:textId="0F945CF6" w:rsidR="00004E76" w:rsidRDefault="00004E76" w:rsidP="00004E76">
      <w:pPr>
        <w:spacing w:after="200" w:line="480" w:lineRule="auto"/>
        <w:ind w:left="720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But they are no longer exclusive or the only things to be considered when deciding whether a custodial statement is admissible.</w:t>
      </w:r>
    </w:p>
    <w:p w14:paraId="49BEF739" w14:textId="61B50EFD" w:rsidR="00AE7B65" w:rsidRDefault="00AE7B65" w:rsidP="00AE7B65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pict w14:anchorId="02DC8A5F">
          <v:rect id="_x0000_i1102" style="width:0;height:1.5pt" o:hralign="center" o:hrstd="t" o:hr="t" fillcolor="#a0a0a0" stroked="f"/>
        </w:pict>
      </w:r>
    </w:p>
    <w:p w14:paraId="49BF1D02" w14:textId="20D12D88" w:rsidR="004E36CD" w:rsidRDefault="004E36CD" w:rsidP="004E36CD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lastRenderedPageBreak/>
        <w:t xml:space="preserve">There is one more section of the </w:t>
      </w:r>
      <w:r>
        <w:rPr>
          <w:rFonts w:eastAsia="Times New Roman" w:cs="Times New Roman"/>
          <w:bCs/>
          <w:i/>
          <w:iCs/>
          <w:sz w:val="28"/>
          <w:szCs w:val="28"/>
        </w:rPr>
        <w:t>Clark</w:t>
      </w:r>
      <w:r>
        <w:rPr>
          <w:rFonts w:eastAsia="Times New Roman" w:cs="Times New Roman"/>
          <w:bCs/>
          <w:sz w:val="28"/>
          <w:szCs w:val="28"/>
        </w:rPr>
        <w:t xml:space="preserve"> decision that bears some discussion.  After discussing all of the facts surrounding the making of the custodial statement by the juvenile defendant, the Court noted:</w:t>
      </w:r>
    </w:p>
    <w:p w14:paraId="13CC7EE5" w14:textId="6B961D40" w:rsidR="004E36CD" w:rsidRDefault="00AE7B65" w:rsidP="00AE7B65">
      <w:pPr>
        <w:spacing w:after="200" w:line="480" w:lineRule="auto"/>
        <w:ind w:left="720"/>
        <w:rPr>
          <w:rFonts w:eastAsia="Times New Roman" w:cs="Times New Roman"/>
          <w:bCs/>
          <w:sz w:val="28"/>
          <w:szCs w:val="28"/>
        </w:rPr>
      </w:pPr>
      <w:r w:rsidRPr="00AE7B65">
        <w:rPr>
          <w:rFonts w:eastAsia="Times New Roman" w:cs="Times New Roman"/>
          <w:bCs/>
          <w:sz w:val="28"/>
          <w:szCs w:val="28"/>
        </w:rPr>
        <w:t xml:space="preserve">Although the </w:t>
      </w:r>
      <w:r>
        <w:rPr>
          <w:rFonts w:eastAsia="Times New Roman" w:cs="Times New Roman"/>
          <w:bCs/>
          <w:sz w:val="28"/>
          <w:szCs w:val="28"/>
        </w:rPr>
        <w:t xml:space="preserve">[trial] </w:t>
      </w:r>
      <w:r w:rsidRPr="00AE7B65">
        <w:rPr>
          <w:rFonts w:eastAsia="Times New Roman" w:cs="Times New Roman"/>
          <w:bCs/>
          <w:sz w:val="28"/>
          <w:szCs w:val="28"/>
        </w:rPr>
        <w:t xml:space="preserve">court did not expressly acknowledge other factors that may have been pertinent in analyzing the totality of the circumstances, </w:t>
      </w:r>
      <w:r>
        <w:rPr>
          <w:rFonts w:eastAsia="Times New Roman" w:cs="Times New Roman"/>
          <w:bCs/>
          <w:sz w:val="28"/>
          <w:szCs w:val="28"/>
        </w:rPr>
        <w:t>‘</w:t>
      </w:r>
      <w:r w:rsidRPr="00AE7B65">
        <w:rPr>
          <w:rFonts w:eastAsia="Times New Roman" w:cs="Times New Roman"/>
          <w:bCs/>
          <w:sz w:val="28"/>
          <w:szCs w:val="28"/>
        </w:rPr>
        <w:t xml:space="preserve">we generally do not require trial courts to make specific, on-the-record findings about each aspect of the totality of the circumstances they evaluate or to make </w:t>
      </w:r>
      <w:r>
        <w:rPr>
          <w:rFonts w:eastAsia="Times New Roman" w:cs="Times New Roman"/>
          <w:bCs/>
          <w:sz w:val="28"/>
          <w:szCs w:val="28"/>
        </w:rPr>
        <w:t>“</w:t>
      </w:r>
      <w:r w:rsidRPr="00AE7B65">
        <w:rPr>
          <w:rFonts w:eastAsia="Times New Roman" w:cs="Times New Roman"/>
          <w:bCs/>
          <w:sz w:val="28"/>
          <w:szCs w:val="28"/>
        </w:rPr>
        <w:t>explicit factual findings or credibility determinations on the record.’</w:t>
      </w:r>
      <w:r>
        <w:rPr>
          <w:rFonts w:eastAsia="Times New Roman" w:cs="Times New Roman"/>
          <w:bCs/>
          <w:sz w:val="28"/>
          <w:szCs w:val="28"/>
        </w:rPr>
        <w:t>”</w:t>
      </w:r>
      <w:r>
        <w:rPr>
          <w:rStyle w:val="EndnoteReference"/>
          <w:rFonts w:eastAsia="Times New Roman" w:cs="Times New Roman"/>
          <w:bCs/>
          <w:szCs w:val="28"/>
        </w:rPr>
        <w:endnoteReference w:id="11"/>
      </w:r>
      <w:r w:rsidRPr="00AE7B65">
        <w:rPr>
          <w:rFonts w:eastAsia="Times New Roman" w:cs="Times New Roman"/>
          <w:bCs/>
          <w:sz w:val="28"/>
          <w:szCs w:val="28"/>
        </w:rPr>
        <w:t xml:space="preserve"> </w:t>
      </w:r>
    </w:p>
    <w:p w14:paraId="78ED21DF" w14:textId="682AEEDF" w:rsidR="00AE7B65" w:rsidRDefault="00AE7B65" w:rsidP="00AE7B65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When we began this episode, we discussed the specific findings of fact that were “suggested” by our appellate courts when making a determination that a custodial statement was admissible.  Those “suggested findings” are somewhat conclusory.</w:t>
      </w:r>
    </w:p>
    <w:p w14:paraId="521AC69D" w14:textId="41B2CCD8" w:rsidR="00AE7B65" w:rsidRDefault="00AE7B65" w:rsidP="00DA2E93">
      <w:pPr>
        <w:spacing w:after="200" w:line="480" w:lineRule="auto"/>
        <w:ind w:left="720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The </w:t>
      </w:r>
      <w:r>
        <w:rPr>
          <w:rFonts w:eastAsia="Times New Roman" w:cs="Times New Roman"/>
          <w:bCs/>
          <w:i/>
          <w:iCs/>
          <w:sz w:val="28"/>
          <w:szCs w:val="28"/>
        </w:rPr>
        <w:t>Clark</w:t>
      </w:r>
      <w:r>
        <w:rPr>
          <w:rFonts w:eastAsia="Times New Roman" w:cs="Times New Roman"/>
          <w:bCs/>
          <w:sz w:val="28"/>
          <w:szCs w:val="28"/>
        </w:rPr>
        <w:t xml:space="preserve"> decision reaffirms that the trial court does not have to make specific findings about the totality of the circumstances, only that </w:t>
      </w:r>
      <w:r w:rsidR="00DA2E93">
        <w:rPr>
          <w:rFonts w:eastAsia="Times New Roman" w:cs="Times New Roman"/>
          <w:bCs/>
          <w:sz w:val="28"/>
          <w:szCs w:val="28"/>
        </w:rPr>
        <w:t>all of the circumstances were considered.</w:t>
      </w:r>
    </w:p>
    <w:p w14:paraId="03696146" w14:textId="4A1E755C" w:rsidR="00DA2E93" w:rsidRPr="00AE7B65" w:rsidRDefault="00DA2E93" w:rsidP="00DA2E93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The record itself will show what those circumstances were.</w:t>
      </w:r>
    </w:p>
    <w:p w14:paraId="7D6966C3" w14:textId="17A9B640" w:rsidR="002C5BD4" w:rsidRDefault="002C5BD4" w:rsidP="002C5BD4">
      <w:pPr>
        <w:spacing w:after="200" w:line="480" w:lineRule="auto"/>
        <w:ind w:left="720" w:firstLine="75"/>
        <w:rPr>
          <w:rFonts w:eastAsia="Times New Roman" w:cs="Times New Roman"/>
          <w:bCs/>
          <w:sz w:val="28"/>
          <w:szCs w:val="28"/>
        </w:rPr>
      </w:pPr>
    </w:p>
    <w:p w14:paraId="36C6E29C" w14:textId="77777777" w:rsidR="00A763E3" w:rsidRPr="00475AF1" w:rsidRDefault="00A763E3" w:rsidP="00A763E3">
      <w:pPr>
        <w:spacing w:after="200" w:line="480" w:lineRule="auto"/>
        <w:rPr>
          <w:rFonts w:eastAsia="Times New Roman" w:cs="Times New Roman"/>
          <w:bCs/>
          <w:sz w:val="28"/>
          <w:szCs w:val="28"/>
        </w:rPr>
      </w:pPr>
    </w:p>
    <w:p w14:paraId="49280999" w14:textId="77777777" w:rsidR="006B2D8E" w:rsidRDefault="00000000" w:rsidP="00D92D3B">
      <w:pPr>
        <w:spacing w:after="160" w:line="259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pict w14:anchorId="40811A70">
          <v:rect id="_x0000_i1039" style="width:0;height:1.5pt" o:hralign="center" o:hrstd="t" o:hr="t" fillcolor="#a0a0a0" stroked="f"/>
        </w:pict>
      </w:r>
    </w:p>
    <w:p w14:paraId="7408ACCC" w14:textId="4FFA1C99" w:rsidR="00D92D3B" w:rsidRDefault="00D92D3B" w:rsidP="00D92D3B">
      <w:pPr>
        <w:spacing w:after="160" w:line="259" w:lineRule="auto"/>
        <w:rPr>
          <w:rFonts w:eastAsia="Times New Roman" w:cs="Times New Roman"/>
          <w:b/>
          <w:sz w:val="28"/>
          <w:szCs w:val="28"/>
        </w:rPr>
      </w:pPr>
    </w:p>
    <w:p w14:paraId="3EB1CD7C" w14:textId="63E918BF" w:rsidR="00555CD3" w:rsidRDefault="00555CD3" w:rsidP="00A352EC">
      <w:pPr>
        <w:keepNext/>
        <w:spacing w:line="480" w:lineRule="auto"/>
        <w:textAlignment w:val="baseline"/>
        <w:rPr>
          <w:rFonts w:eastAsia="Times New Roman" w:cs="Times New Roman"/>
          <w:bCs/>
          <w:sz w:val="28"/>
          <w:szCs w:val="28"/>
        </w:rPr>
      </w:pPr>
      <w:r w:rsidRPr="00555CD3">
        <w:rPr>
          <w:rFonts w:eastAsia="Times New Roman" w:cs="Times New Roman"/>
          <w:bCs/>
          <w:sz w:val="28"/>
          <w:szCs w:val="28"/>
        </w:rPr>
        <w:t xml:space="preserve">So, that’s all for our episode </w:t>
      </w:r>
      <w:r w:rsidR="001B3891">
        <w:rPr>
          <w:rFonts w:eastAsia="Times New Roman" w:cs="Times New Roman"/>
          <w:bCs/>
          <w:sz w:val="28"/>
          <w:szCs w:val="28"/>
        </w:rPr>
        <w:t>dealing wit</w:t>
      </w:r>
      <w:r w:rsidR="00DA2E93">
        <w:rPr>
          <w:rFonts w:eastAsia="Times New Roman" w:cs="Times New Roman"/>
          <w:bCs/>
          <w:sz w:val="28"/>
          <w:szCs w:val="28"/>
        </w:rPr>
        <w:t>h custodial statements of minors</w:t>
      </w:r>
      <w:r w:rsidR="00D624B7">
        <w:rPr>
          <w:rFonts w:eastAsia="Times New Roman" w:cs="Times New Roman"/>
          <w:bCs/>
          <w:sz w:val="28"/>
          <w:szCs w:val="28"/>
        </w:rPr>
        <w:t>.</w:t>
      </w:r>
    </w:p>
    <w:p w14:paraId="33F3CB59" w14:textId="7F887A69" w:rsidR="00E761DC" w:rsidRPr="00DA2E93" w:rsidRDefault="00DA2E93" w:rsidP="00555CD3">
      <w:pPr>
        <w:spacing w:line="480" w:lineRule="auto"/>
        <w:textAlignment w:val="baseline"/>
        <w:rPr>
          <w:rFonts w:eastAsia="Times New Roman" w:cs="Times New Roman"/>
          <w:bCs/>
          <w:i/>
          <w:iCs/>
          <w:sz w:val="28"/>
          <w:szCs w:val="28"/>
        </w:rPr>
      </w:pPr>
      <w:r>
        <w:rPr>
          <w:rFonts w:eastAsia="Times New Roman" w:cs="Times New Roman"/>
          <w:bCs/>
          <w:i/>
          <w:iCs/>
          <w:sz w:val="28"/>
          <w:szCs w:val="28"/>
        </w:rPr>
        <w:t>While Riley was overturned by Clark, the 9 Riley factors are not irrelevant</w:t>
      </w:r>
    </w:p>
    <w:p w14:paraId="22E87FE4" w14:textId="5213D5A8" w:rsidR="00E761DC" w:rsidRDefault="00DA2E93" w:rsidP="00555CD3">
      <w:pPr>
        <w:spacing w:line="480" w:lineRule="auto"/>
        <w:textAlignment w:val="baseline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They are just no longer exclusive.  Those 9 factors should be considered as part of the overall determination of the totality of the circumstances.</w:t>
      </w:r>
    </w:p>
    <w:p w14:paraId="78E1A043" w14:textId="2BF89029" w:rsidR="00E761DC" w:rsidRDefault="00DA2E93" w:rsidP="00555CD3">
      <w:pPr>
        <w:spacing w:line="480" w:lineRule="auto"/>
        <w:textAlignment w:val="baseline"/>
        <w:rPr>
          <w:rFonts w:eastAsia="Times New Roman" w:cs="Times New Roman"/>
          <w:bCs/>
          <w:i/>
          <w:iCs/>
          <w:sz w:val="28"/>
          <w:szCs w:val="28"/>
        </w:rPr>
      </w:pPr>
      <w:r>
        <w:rPr>
          <w:rFonts w:eastAsia="Times New Roman" w:cs="Times New Roman"/>
          <w:bCs/>
          <w:i/>
          <w:iCs/>
          <w:sz w:val="28"/>
          <w:szCs w:val="28"/>
        </w:rPr>
        <w:t>But your order does not have to recite all of the factors you considered when ruling on the admissibility of a custodial statement.</w:t>
      </w:r>
    </w:p>
    <w:p w14:paraId="4624E723" w14:textId="113C017D" w:rsidR="00555CD3" w:rsidRPr="00555CD3" w:rsidRDefault="00555CD3" w:rsidP="00555CD3">
      <w:pPr>
        <w:spacing w:line="480" w:lineRule="auto"/>
        <w:textAlignment w:val="baseline"/>
        <w:rPr>
          <w:rFonts w:eastAsia="Times New Roman" w:cs="Times New Roman"/>
          <w:bCs/>
          <w:sz w:val="28"/>
          <w:szCs w:val="28"/>
        </w:rPr>
      </w:pPr>
      <w:r w:rsidRPr="00555CD3">
        <w:rPr>
          <w:rFonts w:eastAsia="Times New Roman" w:cs="Times New Roman"/>
          <w:bCs/>
          <w:sz w:val="28"/>
          <w:szCs w:val="28"/>
        </w:rPr>
        <w:t>The outline is full of</w:t>
      </w:r>
      <w:r w:rsidR="00B47BB0">
        <w:rPr>
          <w:rFonts w:eastAsia="Times New Roman" w:cs="Times New Roman"/>
          <w:bCs/>
          <w:sz w:val="28"/>
          <w:szCs w:val="28"/>
        </w:rPr>
        <w:t xml:space="preserve"> </w:t>
      </w:r>
      <w:r w:rsidRPr="00555CD3">
        <w:rPr>
          <w:rFonts w:eastAsia="Times New Roman" w:cs="Times New Roman"/>
          <w:bCs/>
          <w:sz w:val="28"/>
          <w:szCs w:val="28"/>
        </w:rPr>
        <w:t xml:space="preserve">case citations and that outline can be found at </w:t>
      </w:r>
      <w:r w:rsidRPr="00555CD3">
        <w:rPr>
          <w:rFonts w:eastAsia="Times New Roman" w:cs="Times New Roman"/>
          <w:b/>
          <w:sz w:val="28"/>
          <w:szCs w:val="28"/>
        </w:rPr>
        <w:t>goodjudgepod.com</w:t>
      </w:r>
      <w:r w:rsidRPr="00555CD3">
        <w:rPr>
          <w:rFonts w:eastAsia="Times New Roman" w:cs="Times New Roman"/>
          <w:bCs/>
          <w:sz w:val="28"/>
          <w:szCs w:val="28"/>
        </w:rPr>
        <w:t>.</w:t>
      </w:r>
    </w:p>
    <w:p w14:paraId="10C4026F" w14:textId="77777777" w:rsidR="00555CD3" w:rsidRPr="00555CD3" w:rsidRDefault="00555CD3" w:rsidP="00555CD3">
      <w:pPr>
        <w:spacing w:line="480" w:lineRule="auto"/>
        <w:textAlignment w:val="baseline"/>
        <w:rPr>
          <w:rFonts w:eastAsia="Times New Roman" w:cs="Times New Roman"/>
          <w:bCs/>
          <w:sz w:val="28"/>
          <w:szCs w:val="28"/>
        </w:rPr>
      </w:pPr>
      <w:r w:rsidRPr="00555CD3">
        <w:rPr>
          <w:rFonts w:eastAsia="Times New Roman" w:cs="Times New Roman"/>
          <w:bCs/>
          <w:sz w:val="28"/>
          <w:szCs w:val="28"/>
        </w:rPr>
        <w:t xml:space="preserve">Reach out to us on </w:t>
      </w:r>
      <w:hyperlink r:id="rId8" w:history="1">
        <w:r w:rsidRPr="00555CD3">
          <w:rPr>
            <w:rFonts w:eastAsia="Times New Roman" w:cs="Times New Roman"/>
            <w:bCs/>
            <w:color w:val="0000FF"/>
            <w:sz w:val="28"/>
            <w:szCs w:val="28"/>
            <w:u w:val="single"/>
          </w:rPr>
          <w:t>goodjudgepod@gmail.com</w:t>
        </w:r>
      </w:hyperlink>
      <w:r w:rsidRPr="00555CD3">
        <w:rPr>
          <w:rFonts w:eastAsia="Times New Roman" w:cs="Times New Roman"/>
          <w:bCs/>
          <w:sz w:val="28"/>
          <w:szCs w:val="28"/>
        </w:rPr>
        <w:t xml:space="preserve"> with all of your podcast topic ideas</w:t>
      </w:r>
    </w:p>
    <w:p w14:paraId="4A9E1233" w14:textId="77777777" w:rsidR="00555CD3" w:rsidRPr="00555CD3" w:rsidRDefault="00555CD3" w:rsidP="00555CD3">
      <w:pPr>
        <w:spacing w:line="480" w:lineRule="auto"/>
        <w:textAlignment w:val="baseline"/>
        <w:rPr>
          <w:rFonts w:eastAsia="Times New Roman" w:cs="Times New Roman"/>
          <w:b/>
          <w:sz w:val="28"/>
          <w:szCs w:val="28"/>
        </w:rPr>
      </w:pPr>
      <w:r w:rsidRPr="00555CD3">
        <w:rPr>
          <w:rFonts w:eastAsia="Times New Roman" w:cs="Times New Roman"/>
          <w:b/>
          <w:sz w:val="28"/>
          <w:szCs w:val="28"/>
        </w:rPr>
        <w:t>I’m Wade Padgett</w:t>
      </w:r>
    </w:p>
    <w:p w14:paraId="562371CF" w14:textId="5C176295" w:rsidR="00243C96" w:rsidRDefault="00555CD3" w:rsidP="001D42F4">
      <w:pPr>
        <w:spacing w:line="480" w:lineRule="auto"/>
        <w:textAlignment w:val="baseline"/>
        <w:rPr>
          <w:rFonts w:eastAsia="Times New Roman" w:cs="Times New Roman"/>
          <w:i/>
          <w:sz w:val="28"/>
          <w:szCs w:val="28"/>
        </w:rPr>
      </w:pPr>
      <w:r w:rsidRPr="00555CD3">
        <w:rPr>
          <w:rFonts w:eastAsia="Times New Roman" w:cs="Times New Roman"/>
          <w:i/>
          <w:sz w:val="28"/>
          <w:szCs w:val="28"/>
        </w:rPr>
        <w:t>And I’m Tain Kell…</w:t>
      </w:r>
      <w:bookmarkEnd w:id="0"/>
      <w:r w:rsidR="00084E37">
        <w:rPr>
          <w:rFonts w:eastAsia="Times New Roman" w:cs="Times New Roman"/>
          <w:i/>
          <w:sz w:val="28"/>
          <w:szCs w:val="28"/>
        </w:rPr>
        <w:t>The boy ban</w:t>
      </w:r>
      <w:r w:rsidR="001D42F4">
        <w:rPr>
          <w:rFonts w:eastAsia="Times New Roman" w:cs="Times New Roman"/>
          <w:i/>
          <w:sz w:val="28"/>
          <w:szCs w:val="28"/>
        </w:rPr>
        <w:t>d</w:t>
      </w:r>
      <w:r w:rsidR="00084E37">
        <w:rPr>
          <w:rFonts w:eastAsia="Times New Roman" w:cs="Times New Roman"/>
          <w:i/>
          <w:sz w:val="28"/>
          <w:szCs w:val="28"/>
        </w:rPr>
        <w:t xml:space="preserve"> NSYNC has a unique name.  They came up with the name as an amalgamation of the last letter of each of the 5 members’ </w:t>
      </w:r>
      <w:r w:rsidR="001D42F4">
        <w:rPr>
          <w:rFonts w:eastAsia="Times New Roman" w:cs="Times New Roman"/>
          <w:i/>
          <w:sz w:val="28"/>
          <w:szCs w:val="28"/>
        </w:rPr>
        <w:t>first</w:t>
      </w:r>
      <w:r w:rsidR="00084E37">
        <w:rPr>
          <w:rFonts w:eastAsia="Times New Roman" w:cs="Times New Roman"/>
          <w:i/>
          <w:sz w:val="28"/>
          <w:szCs w:val="28"/>
        </w:rPr>
        <w:t xml:space="preserve"> names.</w:t>
      </w:r>
      <w:r w:rsidR="001D42F4">
        <w:rPr>
          <w:rFonts w:eastAsia="Times New Roman" w:cs="Times New Roman"/>
          <w:i/>
          <w:sz w:val="28"/>
          <w:szCs w:val="28"/>
        </w:rPr>
        <w:t xml:space="preserve">  </w:t>
      </w:r>
      <w:r w:rsidR="001D42F4" w:rsidRPr="001D42F4">
        <w:rPr>
          <w:rFonts w:eastAsia="Times New Roman" w:cs="Times New Roman"/>
          <w:i/>
          <w:sz w:val="28"/>
          <w:szCs w:val="28"/>
        </w:rPr>
        <w:t> </w:t>
      </w:r>
      <w:proofErr w:type="spellStart"/>
      <w:r w:rsidR="001D42F4" w:rsidRPr="001D42F4">
        <w:rPr>
          <w:rFonts w:eastAsia="Times New Roman" w:cs="Times New Roman"/>
          <w:i/>
          <w:sz w:val="28"/>
          <w:szCs w:val="28"/>
        </w:rPr>
        <w:t>Justi</w:t>
      </w:r>
      <w:r w:rsidR="001D42F4" w:rsidRPr="001D42F4">
        <w:rPr>
          <w:rFonts w:eastAsia="Times New Roman" w:cs="Times New Roman"/>
          <w:b/>
          <w:bCs/>
          <w:i/>
          <w:sz w:val="28"/>
          <w:szCs w:val="28"/>
        </w:rPr>
        <w:t>N</w:t>
      </w:r>
      <w:proofErr w:type="spellEnd"/>
      <w:r w:rsidR="001D42F4" w:rsidRPr="001D42F4">
        <w:rPr>
          <w:rFonts w:eastAsia="Times New Roman" w:cs="Times New Roman"/>
          <w:i/>
          <w:sz w:val="28"/>
          <w:szCs w:val="28"/>
        </w:rPr>
        <w:t xml:space="preserve">, </w:t>
      </w:r>
      <w:proofErr w:type="spellStart"/>
      <w:r w:rsidR="001D42F4" w:rsidRPr="001D42F4">
        <w:rPr>
          <w:rFonts w:eastAsia="Times New Roman" w:cs="Times New Roman"/>
          <w:i/>
          <w:sz w:val="28"/>
          <w:szCs w:val="28"/>
        </w:rPr>
        <w:t>Chri</w:t>
      </w:r>
      <w:r w:rsidR="001D42F4" w:rsidRPr="001D42F4">
        <w:rPr>
          <w:rFonts w:eastAsia="Times New Roman" w:cs="Times New Roman"/>
          <w:b/>
          <w:bCs/>
          <w:i/>
          <w:sz w:val="28"/>
          <w:szCs w:val="28"/>
        </w:rPr>
        <w:t>S</w:t>
      </w:r>
      <w:proofErr w:type="spellEnd"/>
      <w:r w:rsidR="001D42F4" w:rsidRPr="001D42F4">
        <w:rPr>
          <w:rFonts w:eastAsia="Times New Roman" w:cs="Times New Roman"/>
          <w:i/>
          <w:sz w:val="28"/>
          <w:szCs w:val="28"/>
        </w:rPr>
        <w:t xml:space="preserve">, </w:t>
      </w:r>
      <w:proofErr w:type="spellStart"/>
      <w:r w:rsidR="001D42F4" w:rsidRPr="001D42F4">
        <w:rPr>
          <w:rFonts w:eastAsia="Times New Roman" w:cs="Times New Roman"/>
          <w:i/>
          <w:sz w:val="28"/>
          <w:szCs w:val="28"/>
        </w:rPr>
        <w:t>Joe</w:t>
      </w:r>
      <w:r w:rsidR="001D42F4" w:rsidRPr="001D42F4">
        <w:rPr>
          <w:rFonts w:eastAsia="Times New Roman" w:cs="Times New Roman"/>
          <w:b/>
          <w:bCs/>
          <w:i/>
          <w:sz w:val="28"/>
          <w:szCs w:val="28"/>
        </w:rPr>
        <w:t>Y</w:t>
      </w:r>
      <w:proofErr w:type="spellEnd"/>
      <w:r w:rsidR="001D42F4" w:rsidRPr="001D42F4">
        <w:rPr>
          <w:rFonts w:eastAsia="Times New Roman" w:cs="Times New Roman"/>
          <w:i/>
          <w:sz w:val="28"/>
          <w:szCs w:val="28"/>
        </w:rPr>
        <w:t xml:space="preserve">, </w:t>
      </w:r>
      <w:proofErr w:type="spellStart"/>
      <w:r w:rsidR="001D42F4" w:rsidRPr="001D42F4">
        <w:rPr>
          <w:rFonts w:eastAsia="Times New Roman" w:cs="Times New Roman"/>
          <w:i/>
          <w:sz w:val="28"/>
          <w:szCs w:val="28"/>
        </w:rPr>
        <w:t>Jaso</w:t>
      </w:r>
      <w:r w:rsidR="001D42F4" w:rsidRPr="001D42F4">
        <w:rPr>
          <w:rFonts w:eastAsia="Times New Roman" w:cs="Times New Roman"/>
          <w:b/>
          <w:bCs/>
          <w:i/>
          <w:sz w:val="28"/>
          <w:szCs w:val="28"/>
        </w:rPr>
        <w:t>N</w:t>
      </w:r>
      <w:proofErr w:type="spellEnd"/>
      <w:r w:rsidR="001D42F4" w:rsidRPr="001D42F4">
        <w:rPr>
          <w:rFonts w:eastAsia="Times New Roman" w:cs="Times New Roman"/>
          <w:i/>
          <w:sz w:val="28"/>
          <w:szCs w:val="28"/>
        </w:rPr>
        <w:t>, and J</w:t>
      </w:r>
      <w:r w:rsidR="001D42F4" w:rsidRPr="001D42F4">
        <w:rPr>
          <w:rFonts w:eastAsia="Times New Roman" w:cs="Times New Roman"/>
          <w:b/>
          <w:bCs/>
          <w:i/>
          <w:sz w:val="28"/>
          <w:szCs w:val="28"/>
        </w:rPr>
        <w:t>C</w:t>
      </w:r>
      <w:r w:rsidR="001D42F4" w:rsidRPr="001D42F4">
        <w:rPr>
          <w:rFonts w:eastAsia="Times New Roman" w:cs="Times New Roman"/>
          <w:i/>
          <w:sz w:val="28"/>
          <w:szCs w:val="28"/>
        </w:rPr>
        <w:t>.</w:t>
      </w:r>
      <w:r w:rsidR="001D42F4">
        <w:rPr>
          <w:rFonts w:eastAsia="Times New Roman" w:cs="Times New Roman"/>
          <w:i/>
          <w:sz w:val="28"/>
          <w:szCs w:val="28"/>
        </w:rPr>
        <w:t xml:space="preserve">  (I hope people listen to these crazy music trivia things we do at the end of each episode.)</w:t>
      </w:r>
    </w:p>
    <w:p w14:paraId="1AF10F6F" w14:textId="77777777" w:rsidR="00243C96" w:rsidRPr="00243C96" w:rsidRDefault="00243C96" w:rsidP="00243C96">
      <w:pPr>
        <w:rPr>
          <w:rFonts w:eastAsia="Times New Roman" w:cs="Times New Roman"/>
          <w:sz w:val="28"/>
          <w:szCs w:val="28"/>
        </w:rPr>
      </w:pPr>
    </w:p>
    <w:p w14:paraId="20C906A3" w14:textId="77777777" w:rsidR="00243C96" w:rsidRPr="00243C96" w:rsidRDefault="00243C96" w:rsidP="00243C96">
      <w:pPr>
        <w:rPr>
          <w:rFonts w:eastAsia="Times New Roman" w:cs="Times New Roman"/>
          <w:sz w:val="28"/>
          <w:szCs w:val="28"/>
        </w:rPr>
      </w:pPr>
    </w:p>
    <w:p w14:paraId="1E1D31A7" w14:textId="77777777" w:rsidR="00243C96" w:rsidRPr="00243C96" w:rsidRDefault="00243C96" w:rsidP="00243C96">
      <w:pPr>
        <w:rPr>
          <w:rFonts w:eastAsia="Times New Roman" w:cs="Times New Roman"/>
          <w:sz w:val="28"/>
          <w:szCs w:val="28"/>
        </w:rPr>
      </w:pPr>
    </w:p>
    <w:p w14:paraId="5524A976" w14:textId="77777777" w:rsidR="00243C96" w:rsidRPr="00243C96" w:rsidRDefault="00243C96" w:rsidP="00243C96">
      <w:pPr>
        <w:rPr>
          <w:rFonts w:eastAsia="Times New Roman" w:cs="Times New Roman"/>
          <w:sz w:val="28"/>
          <w:szCs w:val="28"/>
        </w:rPr>
      </w:pPr>
    </w:p>
    <w:p w14:paraId="02080762" w14:textId="77777777" w:rsidR="00243C96" w:rsidRDefault="00243C96" w:rsidP="00243C96">
      <w:pPr>
        <w:spacing w:after="160" w:line="259" w:lineRule="auto"/>
        <w:jc w:val="center"/>
        <w:rPr>
          <w:rFonts w:eastAsia="Times New Roman" w:cs="Times New Roman"/>
          <w:i/>
          <w:sz w:val="28"/>
          <w:szCs w:val="28"/>
        </w:rPr>
      </w:pPr>
    </w:p>
    <w:p w14:paraId="292738F2" w14:textId="090FE96F" w:rsidR="006C1C3B" w:rsidRDefault="006C1C3B">
      <w:pPr>
        <w:spacing w:after="160" w:line="259" w:lineRule="auto"/>
        <w:rPr>
          <w:rFonts w:eastAsia="Times New Roman" w:cs="Times New Roman"/>
          <w:i/>
          <w:sz w:val="28"/>
          <w:szCs w:val="28"/>
        </w:rPr>
      </w:pPr>
      <w:r w:rsidRPr="00243C96">
        <w:rPr>
          <w:rFonts w:eastAsia="Times New Roman" w:cs="Times New Roman"/>
          <w:sz w:val="28"/>
          <w:szCs w:val="28"/>
        </w:rPr>
        <w:br w:type="page"/>
      </w:r>
    </w:p>
    <w:sectPr w:rsidR="006C1C3B" w:rsidSect="00555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30DF" w14:textId="77777777" w:rsidR="007D15CD" w:rsidRDefault="007D15CD" w:rsidP="00A52F35">
      <w:pPr>
        <w:spacing w:line="240" w:lineRule="auto"/>
      </w:pPr>
      <w:r>
        <w:separator/>
      </w:r>
    </w:p>
  </w:endnote>
  <w:endnote w:type="continuationSeparator" w:id="0">
    <w:p w14:paraId="36F9FEEE" w14:textId="77777777" w:rsidR="007D15CD" w:rsidRDefault="007D15CD" w:rsidP="00A52F35">
      <w:pPr>
        <w:spacing w:line="240" w:lineRule="auto"/>
      </w:pPr>
      <w:r>
        <w:continuationSeparator/>
      </w:r>
    </w:p>
  </w:endnote>
  <w:endnote w:id="1">
    <w:p w14:paraId="467518C8" w14:textId="2245DA00" w:rsidR="00C44EF1" w:rsidRPr="00C44EF1" w:rsidRDefault="00C44EF1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rPr>
          <w:i/>
          <w:iCs/>
        </w:rPr>
        <w:t>Tanksley</w:t>
      </w:r>
      <w:proofErr w:type="spellEnd"/>
      <w:r>
        <w:rPr>
          <w:i/>
          <w:iCs/>
        </w:rPr>
        <w:t xml:space="preserve"> v. State</w:t>
      </w:r>
      <w:r>
        <w:t>, 351 Ga. App. 877 (2019).</w:t>
      </w:r>
    </w:p>
  </w:endnote>
  <w:endnote w:id="2">
    <w:p w14:paraId="4FE63F81" w14:textId="77777777" w:rsidR="00E72002" w:rsidRPr="00114875" w:rsidRDefault="00E72002" w:rsidP="00E72002">
      <w:pPr>
        <w:pStyle w:val="EndnoteText"/>
        <w:rPr>
          <w:szCs w:val="24"/>
        </w:rPr>
      </w:pPr>
      <w:r w:rsidRPr="00114875">
        <w:rPr>
          <w:rStyle w:val="EndnoteReference"/>
          <w:szCs w:val="24"/>
        </w:rPr>
        <w:endnoteRef/>
      </w:r>
      <w:r w:rsidRPr="00114875">
        <w:rPr>
          <w:szCs w:val="24"/>
        </w:rPr>
        <w:t xml:space="preserve"> </w:t>
      </w:r>
      <w:r w:rsidRPr="00114875">
        <w:rPr>
          <w:i/>
          <w:iCs/>
          <w:szCs w:val="24"/>
        </w:rPr>
        <w:t>Bryant v. State</w:t>
      </w:r>
      <w:r w:rsidRPr="00114875">
        <w:rPr>
          <w:szCs w:val="24"/>
        </w:rPr>
        <w:t xml:space="preserve">, 268 Ga. 664, 666 (1997); </w:t>
      </w:r>
      <w:r w:rsidRPr="00114875">
        <w:rPr>
          <w:i/>
          <w:iCs/>
          <w:szCs w:val="24"/>
        </w:rPr>
        <w:t>Brown v. State</w:t>
      </w:r>
      <w:r w:rsidRPr="00114875">
        <w:rPr>
          <w:szCs w:val="24"/>
        </w:rPr>
        <w:t>, 294 Ga. 677, 680 (2014)</w:t>
      </w:r>
    </w:p>
  </w:endnote>
  <w:endnote w:id="3">
    <w:p w14:paraId="59E8FD9C" w14:textId="1425EE03" w:rsidR="00E72002" w:rsidRPr="00E72002" w:rsidRDefault="00E72002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i/>
          <w:iCs/>
        </w:rPr>
        <w:t>Riley v. State</w:t>
      </w:r>
      <w:r>
        <w:t xml:space="preserve">, </w:t>
      </w:r>
      <w:r w:rsidR="00342D14">
        <w:t>237 Ga. 124 (1976).</w:t>
      </w:r>
    </w:p>
  </w:endnote>
  <w:endnote w:id="4">
    <w:p w14:paraId="34D37AB2" w14:textId="23F63D39" w:rsidR="007365B5" w:rsidRPr="007365B5" w:rsidRDefault="007365B5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i/>
          <w:iCs/>
        </w:rPr>
        <w:t>Riley</w:t>
      </w:r>
      <w:r>
        <w:t>, at 128.</w:t>
      </w:r>
    </w:p>
  </w:endnote>
  <w:endnote w:id="5">
    <w:p w14:paraId="0F8D418B" w14:textId="5FA87E4A" w:rsidR="00475AF1" w:rsidRPr="00475AF1" w:rsidRDefault="00475AF1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i/>
          <w:iCs/>
        </w:rPr>
        <w:t>Riley</w:t>
      </w:r>
      <w:r>
        <w:t xml:space="preserve">, at 128, disapproving </w:t>
      </w:r>
      <w:r>
        <w:rPr>
          <w:i/>
          <w:iCs/>
        </w:rPr>
        <w:t>Freeman v. Wilcox</w:t>
      </w:r>
      <w:r>
        <w:t>, 119 Ga. App. 325 (1969).</w:t>
      </w:r>
    </w:p>
  </w:endnote>
  <w:endnote w:id="6">
    <w:p w14:paraId="17EB0E5B" w14:textId="11079652" w:rsidR="00475AF1" w:rsidRPr="00475AF1" w:rsidRDefault="00475AF1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i/>
          <w:iCs/>
        </w:rPr>
        <w:t>Riley</w:t>
      </w:r>
      <w:r>
        <w:t xml:space="preserve">, at 128, quoting </w:t>
      </w:r>
      <w:r>
        <w:rPr>
          <w:i/>
          <w:iCs/>
        </w:rPr>
        <w:t>West v. US</w:t>
      </w:r>
      <w:r>
        <w:t>, 399 F.2d 467, 469 (1968).</w:t>
      </w:r>
    </w:p>
  </w:endnote>
  <w:endnote w:id="7">
    <w:p w14:paraId="7AD737DA" w14:textId="2984C8BC" w:rsidR="00342D14" w:rsidRPr="00342D14" w:rsidRDefault="00342D14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i/>
          <w:iCs/>
        </w:rPr>
        <w:t>State v. Burton</w:t>
      </w:r>
      <w:r>
        <w:t>, 314 Ga. 637 (2022).</w:t>
      </w:r>
    </w:p>
  </w:endnote>
  <w:endnote w:id="8">
    <w:p w14:paraId="3F29112C" w14:textId="1595ADE1" w:rsidR="0059558F" w:rsidRPr="0059558F" w:rsidRDefault="0059558F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i/>
          <w:iCs/>
        </w:rPr>
        <w:t>Clark v. State</w:t>
      </w:r>
      <w:r>
        <w:t>, S22A0950, 2023 WL 212506 (Ga. 1/18/2023).</w:t>
      </w:r>
    </w:p>
  </w:endnote>
  <w:endnote w:id="9">
    <w:p w14:paraId="4CB9167F" w14:textId="77777777" w:rsidR="00573E3C" w:rsidRPr="002C5BD4" w:rsidRDefault="00573E3C" w:rsidP="00573E3C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i/>
          <w:iCs/>
        </w:rPr>
        <w:t>Clark</w:t>
      </w:r>
      <w:r>
        <w:t xml:space="preserve">, supra, quoting </w:t>
      </w:r>
      <w:r>
        <w:rPr>
          <w:i/>
          <w:iCs/>
        </w:rPr>
        <w:t>Fare v. Michael C.,</w:t>
      </w:r>
      <w:r>
        <w:t xml:space="preserve"> 442 U.S. 707, 725 (1979).</w:t>
      </w:r>
    </w:p>
  </w:endnote>
  <w:endnote w:id="10">
    <w:p w14:paraId="13FAD268" w14:textId="636E048F" w:rsidR="00682C97" w:rsidRPr="00682C97" w:rsidRDefault="00682C97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i/>
          <w:iCs/>
        </w:rPr>
        <w:t>Clark</w:t>
      </w:r>
      <w:r>
        <w:t>, at *7 of slip opinion.</w:t>
      </w:r>
    </w:p>
  </w:endnote>
  <w:endnote w:id="11">
    <w:p w14:paraId="50E2BB8C" w14:textId="24D16174" w:rsidR="00AE7B65" w:rsidRPr="00AE7B65" w:rsidRDefault="00AE7B65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i/>
          <w:iCs/>
        </w:rPr>
        <w:t>Clark</w:t>
      </w:r>
      <w:r>
        <w:t xml:space="preserve">, at *10 of slip opinion, citing </w:t>
      </w:r>
      <w:r>
        <w:rPr>
          <w:i/>
          <w:iCs/>
        </w:rPr>
        <w:t>Lester v. State</w:t>
      </w:r>
      <w:r>
        <w:t>, 310 Ga. 81, 86 (2020).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002E" w14:textId="77777777" w:rsidR="00030687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E53D" w14:textId="77777777" w:rsidR="00EA3034" w:rsidRDefault="00EA3034" w:rsidP="00C527D7">
    <w:pPr>
      <w:pStyle w:val="Footer"/>
      <w:tabs>
        <w:tab w:val="clear" w:pos="4680"/>
        <w:tab w:val="clear" w:pos="9360"/>
      </w:tabs>
      <w:jc w:val="center"/>
      <w:rPr>
        <w:b/>
        <w:bCs/>
        <w:i/>
        <w:iCs/>
        <w:sz w:val="20"/>
        <w:szCs w:val="20"/>
      </w:rPr>
    </w:pPr>
  </w:p>
  <w:p w14:paraId="647E1D70" w14:textId="415674C1" w:rsidR="003D0F81" w:rsidRDefault="00EA3034" w:rsidP="00C527D7">
    <w:pPr>
      <w:pStyle w:val="Footer"/>
      <w:tabs>
        <w:tab w:val="clear" w:pos="4680"/>
        <w:tab w:val="clear" w:pos="9360"/>
      </w:tabs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CUSTODIAL STATEMENTS OF MINORS</w:t>
    </w:r>
    <w:r w:rsidR="001B3891">
      <w:rPr>
        <w:b/>
        <w:bCs/>
        <w:sz w:val="20"/>
        <w:szCs w:val="20"/>
      </w:rPr>
      <w:t xml:space="preserve"> - </w:t>
    </w:r>
    <w:r w:rsidR="001562CC">
      <w:rPr>
        <w:b/>
        <w:bCs/>
        <w:sz w:val="20"/>
        <w:szCs w:val="20"/>
      </w:rPr>
      <w:t xml:space="preserve"> EPISODE NOTES</w:t>
    </w:r>
  </w:p>
  <w:p w14:paraId="553C4CDE" w14:textId="58B5BE3C" w:rsidR="003D0F81" w:rsidRPr="00DB0007" w:rsidRDefault="001562CC" w:rsidP="00C527D7">
    <w:pPr>
      <w:pStyle w:val="Footer"/>
      <w:tabs>
        <w:tab w:val="clear" w:pos="4680"/>
        <w:tab w:val="clear" w:pos="9360"/>
      </w:tabs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RECORDED </w:t>
    </w:r>
    <w:r w:rsidR="00A352EC">
      <w:rPr>
        <w:b/>
        <w:bCs/>
        <w:sz w:val="20"/>
        <w:szCs w:val="20"/>
      </w:rPr>
      <w:t>2/3/2023</w:t>
    </w:r>
  </w:p>
  <w:p w14:paraId="055DD22B" w14:textId="77777777" w:rsidR="003D0F81" w:rsidRDefault="001562CC" w:rsidP="00C527D7">
    <w:pPr>
      <w:pStyle w:val="Footer"/>
      <w:jc w:val="center"/>
    </w:pPr>
    <w:r w:rsidRPr="00DB0007">
      <w:rPr>
        <w:b/>
        <w:bCs/>
        <w:sz w:val="20"/>
        <w:szCs w:val="20"/>
      </w:rPr>
      <w:t xml:space="preserve">Page </w:t>
    </w:r>
    <w:r w:rsidRPr="00DB0007">
      <w:rPr>
        <w:b/>
        <w:bCs/>
        <w:sz w:val="20"/>
        <w:szCs w:val="20"/>
      </w:rPr>
      <w:fldChar w:fldCharType="begin"/>
    </w:r>
    <w:r w:rsidRPr="00DB0007">
      <w:rPr>
        <w:b/>
        <w:bCs/>
        <w:sz w:val="20"/>
        <w:szCs w:val="20"/>
      </w:rPr>
      <w:instrText xml:space="preserve"> PAGE  \* Arabic  \* MERGEFORMAT </w:instrText>
    </w:r>
    <w:r w:rsidRPr="00DB0007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5</w:t>
    </w:r>
    <w:r w:rsidRPr="00DB0007">
      <w:rPr>
        <w:b/>
        <w:bCs/>
        <w:sz w:val="20"/>
        <w:szCs w:val="20"/>
      </w:rPr>
      <w:fldChar w:fldCharType="end"/>
    </w:r>
    <w:r w:rsidRPr="00DB0007">
      <w:rPr>
        <w:b/>
        <w:bCs/>
        <w:sz w:val="20"/>
        <w:szCs w:val="20"/>
      </w:rPr>
      <w:t xml:space="preserve"> of </w:t>
    </w:r>
    <w:r w:rsidRPr="00DB0007">
      <w:rPr>
        <w:b/>
        <w:bCs/>
        <w:sz w:val="20"/>
        <w:szCs w:val="20"/>
      </w:rPr>
      <w:fldChar w:fldCharType="begin"/>
    </w:r>
    <w:r w:rsidRPr="00DB0007">
      <w:rPr>
        <w:b/>
        <w:bCs/>
        <w:sz w:val="20"/>
        <w:szCs w:val="20"/>
      </w:rPr>
      <w:instrText xml:space="preserve"> NUMPAGES  \* Arabic  \* MERGEFORMAT </w:instrText>
    </w:r>
    <w:r w:rsidRPr="00DB0007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8</w:t>
    </w:r>
    <w:r w:rsidRPr="00DB0007">
      <w:rPr>
        <w:b/>
        <w:bCs/>
        <w:sz w:val="20"/>
        <w:szCs w:val="20"/>
      </w:rPr>
      <w:fldChar w:fldCharType="end"/>
    </w:r>
  </w:p>
  <w:p w14:paraId="7B547636" w14:textId="77777777" w:rsidR="003D0F81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46EC" w14:textId="77777777" w:rsidR="0003068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C8224" w14:textId="77777777" w:rsidR="007D15CD" w:rsidRDefault="007D15CD" w:rsidP="00A52F35">
      <w:pPr>
        <w:spacing w:line="240" w:lineRule="auto"/>
      </w:pPr>
      <w:r>
        <w:separator/>
      </w:r>
    </w:p>
  </w:footnote>
  <w:footnote w:type="continuationSeparator" w:id="0">
    <w:p w14:paraId="42E6880B" w14:textId="77777777" w:rsidR="007D15CD" w:rsidRDefault="007D15CD" w:rsidP="00A52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0C37" w14:textId="77777777" w:rsidR="00030687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7168" w14:textId="77777777" w:rsidR="00030687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8831" w14:textId="77777777" w:rsidR="00030687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5409" style="width:0;height:1.5pt" o:hralign="center" o:bullet="t" o:hrstd="t" o:hr="t" fillcolor="#a0a0a0" stroked="f"/>
    </w:pict>
  </w:numPicBullet>
  <w:numPicBullet w:numPicBulletId="1">
    <w:pict>
      <v:rect id="_x0000_i5410" style="width:0;height:1.5pt" o:hralign="center" o:bullet="t" o:hrstd="t" o:hr="t" fillcolor="#a0a0a0" stroked="f"/>
    </w:pict>
  </w:numPicBullet>
  <w:numPicBullet w:numPicBulletId="2">
    <w:pict>
      <v:rect id="_x0000_i5411" style="width:0;height:1.5pt" o:hralign="center" o:bullet="t" o:hrstd="t" o:hr="t" fillcolor="#a0a0a0" stroked="f"/>
    </w:pict>
  </w:numPicBullet>
  <w:numPicBullet w:numPicBulletId="3">
    <w:pict>
      <v:rect id="_x0000_i5412" style="width:0;height:1.5pt" o:hralign="center" o:bullet="t" o:hrstd="t" o:hr="t" fillcolor="#a0a0a0" stroked="f"/>
    </w:pict>
  </w:numPicBullet>
  <w:numPicBullet w:numPicBulletId="4">
    <w:pict>
      <v:rect id="_x0000_i5413" style="width:0;height:1.5pt" o:hralign="center" o:bullet="t" o:hrstd="t" o:hr="t" fillcolor="#a0a0a0" stroked="f"/>
    </w:pict>
  </w:numPicBullet>
  <w:numPicBullet w:numPicBulletId="5">
    <w:pict>
      <v:rect id="_x0000_i5414" style="width:0;height:1.5pt" o:hralign="center" o:bullet="t" o:hrstd="t" o:hr="t" fillcolor="#a0a0a0" stroked="f"/>
    </w:pict>
  </w:numPicBullet>
  <w:abstractNum w:abstractNumId="0" w15:restartNumberingAfterBreak="0">
    <w:nsid w:val="0CA12C44"/>
    <w:multiLevelType w:val="hybridMultilevel"/>
    <w:tmpl w:val="579C526C"/>
    <w:lvl w:ilvl="0" w:tplc="75469E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1378"/>
    <w:multiLevelType w:val="hybridMultilevel"/>
    <w:tmpl w:val="E52E9484"/>
    <w:lvl w:ilvl="0" w:tplc="E452A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FC1DD5"/>
    <w:multiLevelType w:val="hybridMultilevel"/>
    <w:tmpl w:val="31166ADA"/>
    <w:lvl w:ilvl="0" w:tplc="483EFB1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9505A4"/>
    <w:multiLevelType w:val="hybridMultilevel"/>
    <w:tmpl w:val="371A4E50"/>
    <w:lvl w:ilvl="0" w:tplc="AB36AB6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A629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12A5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42E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A02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A9F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AEC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BC37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5203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E8D7217"/>
    <w:multiLevelType w:val="hybridMultilevel"/>
    <w:tmpl w:val="C9C4DCE2"/>
    <w:lvl w:ilvl="0" w:tplc="7AF80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074E6"/>
    <w:multiLevelType w:val="hybridMultilevel"/>
    <w:tmpl w:val="F36AE656"/>
    <w:lvl w:ilvl="0" w:tplc="2898B87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BE40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840F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0C6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5ADA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5614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49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C84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6E6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DE01621"/>
    <w:multiLevelType w:val="hybridMultilevel"/>
    <w:tmpl w:val="300210E6"/>
    <w:lvl w:ilvl="0" w:tplc="B368367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0C7082"/>
    <w:multiLevelType w:val="hybridMultilevel"/>
    <w:tmpl w:val="3E046ABA"/>
    <w:lvl w:ilvl="0" w:tplc="4EB6F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9850FF"/>
    <w:multiLevelType w:val="hybridMultilevel"/>
    <w:tmpl w:val="B1F44934"/>
    <w:lvl w:ilvl="0" w:tplc="22B6F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177683"/>
    <w:multiLevelType w:val="multilevel"/>
    <w:tmpl w:val="CBB6B62E"/>
    <w:lvl w:ilvl="0">
      <w:start w:val="1"/>
      <w:numFmt w:val="upperRoman"/>
      <w:lvlText w:val="Section %1:"/>
      <w:lvlJc w:val="left"/>
      <w:pPr>
        <w:ind w:left="720" w:hanging="720"/>
      </w:pPr>
      <w:rPr>
        <w:rFonts w:ascii="Times New Roman Bold" w:hAnsi="Times New Roman Bold" w:hint="default"/>
        <w:b/>
        <w:i w:val="0"/>
        <w:color w:val="auto"/>
        <w:sz w:val="32"/>
        <w:szCs w:val="24"/>
      </w:rPr>
    </w:lvl>
    <w:lvl w:ilvl="1">
      <w:start w:val="1"/>
      <w:numFmt w:val="decimal"/>
      <w:lvlText w:val="%2)"/>
      <w:lvlJc w:val="right"/>
      <w:pPr>
        <w:ind w:left="720" w:hanging="432"/>
      </w:pPr>
      <w:rPr>
        <w:rFonts w:ascii="Times New Roman Bold" w:hAnsi="Times New Roman Bold" w:cs="Arial" w:hint="default"/>
        <w:b/>
        <w:i w:val="0"/>
        <w:color w:val="auto"/>
        <w:sz w:val="28"/>
        <w:szCs w:val="24"/>
        <w:vertAlign w:val="baseline"/>
      </w:rPr>
    </w:lvl>
    <w:lvl w:ilvl="2">
      <w:start w:val="1"/>
      <w:numFmt w:val="lowerLetter"/>
      <w:lvlText w:val="%3)"/>
      <w:lvlJc w:val="right"/>
      <w:pPr>
        <w:ind w:left="1080" w:hanging="360"/>
      </w:pPr>
      <w:rPr>
        <w:rFonts w:ascii="Times New Roman Bold" w:hAnsi="Times New Roman Bold" w:hint="default"/>
        <w:b/>
        <w:i w:val="0"/>
        <w:color w:val="auto"/>
        <w:sz w:val="28"/>
        <w:szCs w:val="24"/>
        <w:vertAlign w:val="baseline"/>
      </w:rPr>
    </w:lvl>
    <w:lvl w:ilvl="3">
      <w:start w:val="1"/>
      <w:numFmt w:val="lowerRoman"/>
      <w:lvlText w:val="(%4)"/>
      <w:lvlJc w:val="right"/>
      <w:pPr>
        <w:ind w:left="1440" w:hanging="360"/>
      </w:pPr>
      <w:rPr>
        <w:rFonts w:ascii="Times New Roman Bold" w:hAnsi="Times New Roman Bold" w:hint="default"/>
        <w:b/>
        <w:i w:val="0"/>
        <w:color w:val="auto"/>
        <w:sz w:val="28"/>
        <w:szCs w:val="24"/>
      </w:rPr>
    </w:lvl>
    <w:lvl w:ilvl="4">
      <w:start w:val="1"/>
      <w:numFmt w:val="decimal"/>
      <w:lvlText w:val="(%5)"/>
      <w:lvlJc w:val="right"/>
      <w:pPr>
        <w:ind w:left="1800" w:hanging="360"/>
      </w:pPr>
      <w:rPr>
        <w:rFonts w:ascii="Times New Roman Bold" w:hAnsi="Times New Roman Bold" w:hint="default"/>
        <w:b/>
        <w:i w:val="0"/>
        <w:color w:val="auto"/>
        <w:sz w:val="28"/>
      </w:rPr>
    </w:lvl>
    <w:lvl w:ilvl="5">
      <w:start w:val="1"/>
      <w:numFmt w:val="upperLetter"/>
      <w:lvlText w:val="(%6)"/>
      <w:lvlJc w:val="right"/>
      <w:pPr>
        <w:ind w:left="2160" w:hanging="360"/>
      </w:pPr>
      <w:rPr>
        <w:rFonts w:ascii="Times New Roman Bold" w:hAnsi="Times New Roman Bold" w:hint="default"/>
        <w:b/>
        <w:i w:val="0"/>
        <w:color w:val="auto"/>
        <w:sz w:val="28"/>
      </w:rPr>
    </w:lvl>
    <w:lvl w:ilvl="6">
      <w:start w:val="1"/>
      <w:numFmt w:val="decimal"/>
      <w:lvlText w:val="%7)"/>
      <w:lvlJc w:val="right"/>
      <w:pPr>
        <w:ind w:left="3240" w:hanging="360"/>
      </w:pPr>
      <w:rPr>
        <w:rFonts w:ascii="Times New Roman Bold" w:hAnsi="Times New Roman Bold" w:cs="Times New Roman" w:hint="default"/>
        <w:b/>
        <w:i w:val="0"/>
        <w:color w:val="auto"/>
        <w:sz w:val="28"/>
      </w:rPr>
    </w:lvl>
    <w:lvl w:ilvl="7">
      <w:start w:val="1"/>
      <w:numFmt w:val="lowerLetter"/>
      <w:lvlText w:val="%8."/>
      <w:lvlJc w:val="left"/>
      <w:pPr>
        <w:ind w:left="3744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76" w:hanging="432"/>
      </w:pPr>
      <w:rPr>
        <w:rFonts w:hint="default"/>
      </w:rPr>
    </w:lvl>
  </w:abstractNum>
  <w:num w:numId="1" w16cid:durableId="737361280">
    <w:abstractNumId w:val="9"/>
  </w:num>
  <w:num w:numId="2" w16cid:durableId="516770339">
    <w:abstractNumId w:val="0"/>
  </w:num>
  <w:num w:numId="3" w16cid:durableId="1672216630">
    <w:abstractNumId w:val="3"/>
  </w:num>
  <w:num w:numId="4" w16cid:durableId="1785076624">
    <w:abstractNumId w:val="7"/>
  </w:num>
  <w:num w:numId="5" w16cid:durableId="36049770">
    <w:abstractNumId w:val="5"/>
  </w:num>
  <w:num w:numId="6" w16cid:durableId="1807384188">
    <w:abstractNumId w:val="2"/>
  </w:num>
  <w:num w:numId="7" w16cid:durableId="1662156200">
    <w:abstractNumId w:val="1"/>
  </w:num>
  <w:num w:numId="8" w16cid:durableId="253443359">
    <w:abstractNumId w:val="8"/>
  </w:num>
  <w:num w:numId="9" w16cid:durableId="1263496201">
    <w:abstractNumId w:val="6"/>
  </w:num>
  <w:num w:numId="10" w16cid:durableId="1364405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stylePaneSortMethod w:val="00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D3"/>
    <w:rsid w:val="00001404"/>
    <w:rsid w:val="00004E76"/>
    <w:rsid w:val="00024008"/>
    <w:rsid w:val="00036AEB"/>
    <w:rsid w:val="00063AF3"/>
    <w:rsid w:val="00064B18"/>
    <w:rsid w:val="00084E37"/>
    <w:rsid w:val="000B3423"/>
    <w:rsid w:val="000C12F1"/>
    <w:rsid w:val="000C446F"/>
    <w:rsid w:val="000E6545"/>
    <w:rsid w:val="000F1719"/>
    <w:rsid w:val="0010409A"/>
    <w:rsid w:val="00112051"/>
    <w:rsid w:val="001264FC"/>
    <w:rsid w:val="001562CC"/>
    <w:rsid w:val="00156D40"/>
    <w:rsid w:val="00172311"/>
    <w:rsid w:val="001B3891"/>
    <w:rsid w:val="001B5AEF"/>
    <w:rsid w:val="001D42F4"/>
    <w:rsid w:val="001E223E"/>
    <w:rsid w:val="001E6C37"/>
    <w:rsid w:val="001F7DF7"/>
    <w:rsid w:val="0023015A"/>
    <w:rsid w:val="002358D9"/>
    <w:rsid w:val="00243C96"/>
    <w:rsid w:val="002521F1"/>
    <w:rsid w:val="002708B0"/>
    <w:rsid w:val="002C3EBC"/>
    <w:rsid w:val="002C50A5"/>
    <w:rsid w:val="002C5202"/>
    <w:rsid w:val="002C5BD4"/>
    <w:rsid w:val="002D73D0"/>
    <w:rsid w:val="002E0E05"/>
    <w:rsid w:val="002E356A"/>
    <w:rsid w:val="002F196F"/>
    <w:rsid w:val="00301C63"/>
    <w:rsid w:val="00336E4C"/>
    <w:rsid w:val="00342D14"/>
    <w:rsid w:val="003842AF"/>
    <w:rsid w:val="003A43D9"/>
    <w:rsid w:val="00411A06"/>
    <w:rsid w:val="004134DA"/>
    <w:rsid w:val="00425248"/>
    <w:rsid w:val="0042615D"/>
    <w:rsid w:val="004409D3"/>
    <w:rsid w:val="00441771"/>
    <w:rsid w:val="00457110"/>
    <w:rsid w:val="00471E6F"/>
    <w:rsid w:val="00475AF1"/>
    <w:rsid w:val="00495FCA"/>
    <w:rsid w:val="004D2154"/>
    <w:rsid w:val="004D5C04"/>
    <w:rsid w:val="004E3189"/>
    <w:rsid w:val="004E36CD"/>
    <w:rsid w:val="0052598B"/>
    <w:rsid w:val="00553437"/>
    <w:rsid w:val="00555CD3"/>
    <w:rsid w:val="00562A35"/>
    <w:rsid w:val="00566D78"/>
    <w:rsid w:val="005725FA"/>
    <w:rsid w:val="00573E3C"/>
    <w:rsid w:val="00573E68"/>
    <w:rsid w:val="00584275"/>
    <w:rsid w:val="0059558F"/>
    <w:rsid w:val="005A0657"/>
    <w:rsid w:val="005C1A2B"/>
    <w:rsid w:val="005C3462"/>
    <w:rsid w:val="005D4D9F"/>
    <w:rsid w:val="0061670A"/>
    <w:rsid w:val="00633CCD"/>
    <w:rsid w:val="0064718D"/>
    <w:rsid w:val="006536D1"/>
    <w:rsid w:val="00666DF6"/>
    <w:rsid w:val="00670B4A"/>
    <w:rsid w:val="00674A33"/>
    <w:rsid w:val="00682C97"/>
    <w:rsid w:val="006B2D8E"/>
    <w:rsid w:val="006B3477"/>
    <w:rsid w:val="006C1C3B"/>
    <w:rsid w:val="006D64C0"/>
    <w:rsid w:val="006E3884"/>
    <w:rsid w:val="00703656"/>
    <w:rsid w:val="00726683"/>
    <w:rsid w:val="007356DF"/>
    <w:rsid w:val="007365B5"/>
    <w:rsid w:val="007969F6"/>
    <w:rsid w:val="007A1271"/>
    <w:rsid w:val="007A5FEE"/>
    <w:rsid w:val="007D15CD"/>
    <w:rsid w:val="007E21A4"/>
    <w:rsid w:val="007E402B"/>
    <w:rsid w:val="007F7D58"/>
    <w:rsid w:val="008061A2"/>
    <w:rsid w:val="008322F0"/>
    <w:rsid w:val="00837697"/>
    <w:rsid w:val="00865980"/>
    <w:rsid w:val="00866B67"/>
    <w:rsid w:val="00887092"/>
    <w:rsid w:val="00892338"/>
    <w:rsid w:val="00893D39"/>
    <w:rsid w:val="008A352B"/>
    <w:rsid w:val="008A462A"/>
    <w:rsid w:val="008B5B56"/>
    <w:rsid w:val="008E50B7"/>
    <w:rsid w:val="008E5841"/>
    <w:rsid w:val="008F22C8"/>
    <w:rsid w:val="009047D5"/>
    <w:rsid w:val="00914B8B"/>
    <w:rsid w:val="009254B1"/>
    <w:rsid w:val="00934E0A"/>
    <w:rsid w:val="00943E38"/>
    <w:rsid w:val="00945699"/>
    <w:rsid w:val="00967F5B"/>
    <w:rsid w:val="0098464C"/>
    <w:rsid w:val="00987D3D"/>
    <w:rsid w:val="009B42AB"/>
    <w:rsid w:val="009E786C"/>
    <w:rsid w:val="00A11B17"/>
    <w:rsid w:val="00A11F70"/>
    <w:rsid w:val="00A23CEE"/>
    <w:rsid w:val="00A352EC"/>
    <w:rsid w:val="00A52F35"/>
    <w:rsid w:val="00A57561"/>
    <w:rsid w:val="00A65A34"/>
    <w:rsid w:val="00A66E9C"/>
    <w:rsid w:val="00A763E3"/>
    <w:rsid w:val="00A978B0"/>
    <w:rsid w:val="00AB332A"/>
    <w:rsid w:val="00AE7B65"/>
    <w:rsid w:val="00AF648B"/>
    <w:rsid w:val="00B0502B"/>
    <w:rsid w:val="00B47BB0"/>
    <w:rsid w:val="00BA53AA"/>
    <w:rsid w:val="00BB4870"/>
    <w:rsid w:val="00BC4399"/>
    <w:rsid w:val="00BE126E"/>
    <w:rsid w:val="00BE35E7"/>
    <w:rsid w:val="00BE3B09"/>
    <w:rsid w:val="00C06FE0"/>
    <w:rsid w:val="00C136E3"/>
    <w:rsid w:val="00C20D6F"/>
    <w:rsid w:val="00C226FC"/>
    <w:rsid w:val="00C44EF1"/>
    <w:rsid w:val="00C73794"/>
    <w:rsid w:val="00C9333B"/>
    <w:rsid w:val="00C962C0"/>
    <w:rsid w:val="00CA4966"/>
    <w:rsid w:val="00CD1DAD"/>
    <w:rsid w:val="00D023EA"/>
    <w:rsid w:val="00D22B3C"/>
    <w:rsid w:val="00D42E09"/>
    <w:rsid w:val="00D56882"/>
    <w:rsid w:val="00D624B7"/>
    <w:rsid w:val="00D674B8"/>
    <w:rsid w:val="00D67C29"/>
    <w:rsid w:val="00D92D3B"/>
    <w:rsid w:val="00DA2157"/>
    <w:rsid w:val="00DA2E93"/>
    <w:rsid w:val="00DC0AA6"/>
    <w:rsid w:val="00DC24DA"/>
    <w:rsid w:val="00DC7205"/>
    <w:rsid w:val="00DC771F"/>
    <w:rsid w:val="00DD3B5B"/>
    <w:rsid w:val="00DF3FE0"/>
    <w:rsid w:val="00E33651"/>
    <w:rsid w:val="00E40BE2"/>
    <w:rsid w:val="00E72002"/>
    <w:rsid w:val="00E761DC"/>
    <w:rsid w:val="00E77BDB"/>
    <w:rsid w:val="00EA3034"/>
    <w:rsid w:val="00ED08FC"/>
    <w:rsid w:val="00EE63A4"/>
    <w:rsid w:val="00F0409E"/>
    <w:rsid w:val="00F35BC3"/>
    <w:rsid w:val="00F5353B"/>
    <w:rsid w:val="00F56BBE"/>
    <w:rsid w:val="00F62034"/>
    <w:rsid w:val="00F635BA"/>
    <w:rsid w:val="00F70A7D"/>
    <w:rsid w:val="00F80319"/>
    <w:rsid w:val="00F901DB"/>
    <w:rsid w:val="00F937CC"/>
    <w:rsid w:val="00FC4D1C"/>
    <w:rsid w:val="00FD1455"/>
    <w:rsid w:val="00FF1970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170CB"/>
  <w15:chartTrackingRefBased/>
  <w15:docId w15:val="{7CADD9EF-B7C6-4FB7-B26D-FA013D2E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9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11B17"/>
    <w:pPr>
      <w:spacing w:after="0" w:line="36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A34"/>
    <w:pPr>
      <w:keepNext/>
      <w:keepLines/>
      <w:spacing w:before="240" w:after="240" w:line="240" w:lineRule="auto"/>
      <w:jc w:val="center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A34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sz w:val="26"/>
      <w:szCs w:val="2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0"/>
    <w:qFormat/>
    <w:rsid w:val="00FF1970"/>
    <w:pPr>
      <w:spacing w:after="120"/>
      <w:ind w:left="432" w:hanging="432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0"/>
    <w:rsid w:val="00FF1970"/>
    <w:rPr>
      <w:rFonts w:ascii="Times New Roman" w:hAnsi="Times New Roman"/>
      <w:sz w:val="24"/>
      <w:szCs w:val="20"/>
    </w:rPr>
  </w:style>
  <w:style w:type="character" w:styleId="EndnoteReference">
    <w:name w:val="endnote reference"/>
    <w:basedOn w:val="DefaultParagraphFont"/>
    <w:unhideWhenUsed/>
    <w:qFormat/>
    <w:rsid w:val="008A462A"/>
    <w:rPr>
      <w:rFonts w:ascii="Times New Roman Bold" w:hAnsi="Times New Roman Bold"/>
      <w:b/>
      <w:color w:val="auto"/>
      <w:sz w:val="28"/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FF3D82"/>
    <w:pPr>
      <w:spacing w:before="120" w:after="120" w:line="240" w:lineRule="auto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FF3D82"/>
    <w:rPr>
      <w:rFonts w:ascii="Times New Roman" w:hAnsi="Times New Roman"/>
      <w:iCs/>
      <w:sz w:val="24"/>
    </w:rPr>
  </w:style>
  <w:style w:type="paragraph" w:customStyle="1" w:styleId="LegalQuote">
    <w:name w:val="Legal Quote"/>
    <w:basedOn w:val="Normal"/>
    <w:qFormat/>
    <w:rsid w:val="00562A35"/>
    <w:pPr>
      <w:spacing w:before="240" w:after="240" w:line="240" w:lineRule="auto"/>
      <w:ind w:left="720" w:right="720"/>
    </w:pPr>
    <w:rPr>
      <w:rFonts w:cstheme="minorHAnsi"/>
      <w:bCs/>
      <w:szCs w:val="28"/>
    </w:rPr>
  </w:style>
  <w:style w:type="paragraph" w:customStyle="1" w:styleId="Legalquote0">
    <w:name w:val="Legal quote"/>
    <w:basedOn w:val="Normal"/>
    <w:qFormat/>
    <w:rsid w:val="005725FA"/>
    <w:pPr>
      <w:spacing w:before="120" w:after="240" w:line="240" w:lineRule="auto"/>
      <w:ind w:left="720" w:right="720"/>
    </w:pPr>
    <w:rPr>
      <w:rFonts w:eastAsia="Arial"/>
    </w:rPr>
  </w:style>
  <w:style w:type="character" w:customStyle="1" w:styleId="Heading1Char">
    <w:name w:val="Heading 1 Char"/>
    <w:basedOn w:val="DefaultParagraphFont"/>
    <w:link w:val="Heading1"/>
    <w:uiPriority w:val="9"/>
    <w:rsid w:val="00A65A34"/>
    <w:rPr>
      <w:rFonts w:ascii="Times New Roman" w:eastAsiaTheme="majorEastAsia" w:hAnsi="Times New Roman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5A34"/>
    <w:rPr>
      <w:rFonts w:ascii="Times New Roman" w:eastAsiaTheme="majorEastAsia" w:hAnsi="Times New Roman" w:cstheme="majorBidi"/>
      <w:b/>
      <w:sz w:val="26"/>
      <w:szCs w:val="26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F22C8"/>
    <w:rPr>
      <w:rFonts w:ascii="Times New Roman" w:hAnsi="Times New Roman"/>
      <w:b/>
      <w:sz w:val="24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55CD3"/>
    <w:pPr>
      <w:tabs>
        <w:tab w:val="center" w:pos="4680"/>
        <w:tab w:val="right" w:pos="9360"/>
      </w:tabs>
      <w:spacing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55CD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55CD3"/>
    <w:pPr>
      <w:tabs>
        <w:tab w:val="center" w:pos="4680"/>
        <w:tab w:val="right" w:pos="9360"/>
      </w:tabs>
      <w:spacing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55CD3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553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4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djudgepod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FB39-9203-4851-9AAE-0AF46B1C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Padgett</dc:creator>
  <cp:keywords/>
  <dc:description/>
  <cp:lastModifiedBy>Wade Padgett</cp:lastModifiedBy>
  <cp:revision>3</cp:revision>
  <dcterms:created xsi:type="dcterms:W3CDTF">2023-02-01T05:51:00Z</dcterms:created>
  <dcterms:modified xsi:type="dcterms:W3CDTF">2023-02-01T07:04:00Z</dcterms:modified>
</cp:coreProperties>
</file>