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BF31A" w14:textId="7CDA8404" w:rsidR="00F53F9A" w:rsidRDefault="00A31F28" w:rsidP="00DD2C4A">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2025 Tort Reform </w:t>
      </w:r>
      <w:r w:rsidR="009F3ED6">
        <w:rPr>
          <w:rFonts w:ascii="Times New Roman" w:hAnsi="Times New Roman" w:cs="Times New Roman"/>
          <w:b/>
          <w:bCs/>
          <w:sz w:val="28"/>
          <w:szCs w:val="28"/>
        </w:rPr>
        <w:t>from Defense Perspective</w:t>
      </w:r>
      <w:r w:rsidR="00827E5D" w:rsidRPr="00DD2C4A">
        <w:rPr>
          <w:rFonts w:ascii="Times New Roman" w:hAnsi="Times New Roman" w:cs="Times New Roman"/>
          <w:b/>
          <w:bCs/>
          <w:sz w:val="28"/>
          <w:szCs w:val="28"/>
        </w:rPr>
        <w:t xml:space="preserve"> Podcast Outline</w:t>
      </w:r>
    </w:p>
    <w:p w14:paraId="20C2B70C" w14:textId="4D33262D" w:rsidR="00526532" w:rsidRPr="00DD2C4A" w:rsidRDefault="00526532" w:rsidP="00DD2C4A">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Guest: </w:t>
      </w:r>
      <w:r w:rsidR="00A31F28">
        <w:rPr>
          <w:rFonts w:ascii="Times New Roman" w:hAnsi="Times New Roman" w:cs="Times New Roman"/>
          <w:b/>
          <w:bCs/>
          <w:sz w:val="28"/>
          <w:szCs w:val="28"/>
        </w:rPr>
        <w:t>Sam Britt</w:t>
      </w:r>
    </w:p>
    <w:p w14:paraId="030C24CE" w14:textId="0B00C833" w:rsidR="00827E5D" w:rsidRPr="00DD2C4A" w:rsidRDefault="00827E5D" w:rsidP="00DD2C4A">
      <w:pPr>
        <w:spacing w:line="480" w:lineRule="auto"/>
        <w:jc w:val="both"/>
        <w:rPr>
          <w:rFonts w:ascii="Times New Roman" w:hAnsi="Times New Roman" w:cs="Times New Roman"/>
          <w:b/>
          <w:bCs/>
          <w:sz w:val="28"/>
          <w:szCs w:val="28"/>
        </w:rPr>
      </w:pPr>
      <w:r w:rsidRPr="00DD2C4A">
        <w:rPr>
          <w:rFonts w:ascii="Times New Roman" w:hAnsi="Times New Roman" w:cs="Times New Roman"/>
          <w:b/>
          <w:bCs/>
          <w:sz w:val="28"/>
          <w:szCs w:val="28"/>
        </w:rPr>
        <w:t>Wade:  Hello folks and welcome to another episode of the Good Judge-ment Podcast.  I’m your host, Wade Padgett.</w:t>
      </w:r>
    </w:p>
    <w:p w14:paraId="6915F1E2" w14:textId="4A0F2B2F" w:rsidR="00827E5D" w:rsidRPr="00DD2C4A" w:rsidRDefault="00827E5D" w:rsidP="00DD2C4A">
      <w:pPr>
        <w:spacing w:line="480" w:lineRule="auto"/>
        <w:jc w:val="both"/>
        <w:rPr>
          <w:rFonts w:ascii="Times New Roman" w:hAnsi="Times New Roman" w:cs="Times New Roman"/>
          <w:sz w:val="28"/>
          <w:szCs w:val="28"/>
        </w:rPr>
      </w:pPr>
      <w:r w:rsidRPr="00DD2C4A">
        <w:rPr>
          <w:rFonts w:ascii="Times New Roman" w:hAnsi="Times New Roman" w:cs="Times New Roman"/>
          <w:sz w:val="28"/>
          <w:szCs w:val="28"/>
        </w:rPr>
        <w:t xml:space="preserve">Tain:  </w:t>
      </w:r>
      <w:r w:rsidR="00A31F28">
        <w:rPr>
          <w:rFonts w:ascii="Times New Roman" w:hAnsi="Times New Roman" w:cs="Times New Roman"/>
          <w:sz w:val="28"/>
          <w:szCs w:val="28"/>
        </w:rPr>
        <w:t>And</w:t>
      </w:r>
      <w:r w:rsidR="00DD2C4A">
        <w:rPr>
          <w:rFonts w:ascii="Times New Roman" w:hAnsi="Times New Roman" w:cs="Times New Roman"/>
          <w:sz w:val="28"/>
          <w:szCs w:val="28"/>
        </w:rPr>
        <w:t xml:space="preserve"> I continue</w:t>
      </w:r>
      <w:r w:rsidRPr="00DD2C4A">
        <w:rPr>
          <w:rFonts w:ascii="Times New Roman" w:hAnsi="Times New Roman" w:cs="Times New Roman"/>
          <w:sz w:val="28"/>
          <w:szCs w:val="28"/>
        </w:rPr>
        <w:t xml:space="preserve"> to be Tain Kel</w:t>
      </w:r>
      <w:r w:rsidR="00526532">
        <w:rPr>
          <w:rFonts w:ascii="Times New Roman" w:hAnsi="Times New Roman" w:cs="Times New Roman"/>
          <w:sz w:val="28"/>
          <w:szCs w:val="28"/>
        </w:rPr>
        <w:t>l</w:t>
      </w:r>
      <w:r w:rsidRPr="00DD2C4A">
        <w:rPr>
          <w:rFonts w:ascii="Times New Roman" w:hAnsi="Times New Roman" w:cs="Times New Roman"/>
          <w:sz w:val="28"/>
          <w:szCs w:val="28"/>
        </w:rPr>
        <w:t xml:space="preserve">.  </w:t>
      </w:r>
    </w:p>
    <w:p w14:paraId="5211E361" w14:textId="0EE11C94" w:rsidR="00A31F28" w:rsidRDefault="00827E5D" w:rsidP="00DD2C4A">
      <w:pPr>
        <w:spacing w:line="480" w:lineRule="auto"/>
        <w:jc w:val="both"/>
        <w:rPr>
          <w:rFonts w:ascii="Times New Roman" w:hAnsi="Times New Roman" w:cs="Times New Roman"/>
          <w:b/>
          <w:bCs/>
          <w:sz w:val="28"/>
          <w:szCs w:val="28"/>
        </w:rPr>
      </w:pPr>
      <w:r w:rsidRPr="00DD2C4A">
        <w:rPr>
          <w:rFonts w:ascii="Times New Roman" w:hAnsi="Times New Roman" w:cs="Times New Roman"/>
          <w:b/>
          <w:bCs/>
          <w:sz w:val="28"/>
          <w:szCs w:val="28"/>
        </w:rPr>
        <w:t xml:space="preserve">Wade: </w:t>
      </w:r>
      <w:r w:rsidR="00DD2C4A">
        <w:rPr>
          <w:rFonts w:ascii="Times New Roman" w:hAnsi="Times New Roman" w:cs="Times New Roman"/>
          <w:b/>
          <w:bCs/>
          <w:sz w:val="28"/>
          <w:szCs w:val="28"/>
        </w:rPr>
        <w:t xml:space="preserve">Tain, </w:t>
      </w:r>
      <w:r w:rsidR="00A31F28">
        <w:rPr>
          <w:rFonts w:ascii="Times New Roman" w:hAnsi="Times New Roman" w:cs="Times New Roman"/>
          <w:b/>
          <w:bCs/>
          <w:sz w:val="28"/>
          <w:szCs w:val="28"/>
        </w:rPr>
        <w:t>I recently had the opportunity to speak with a fan of the show at a gathering and he said something incredibly interesting about the podcast.</w:t>
      </w:r>
    </w:p>
    <w:p w14:paraId="6BCBD014" w14:textId="6306D79C" w:rsidR="00A31F28" w:rsidRDefault="00A31F28" w:rsidP="00DD2C4A">
      <w:pPr>
        <w:spacing w:line="480" w:lineRule="auto"/>
        <w:jc w:val="both"/>
        <w:rPr>
          <w:rFonts w:ascii="Times New Roman" w:hAnsi="Times New Roman" w:cs="Times New Roman"/>
          <w:sz w:val="28"/>
          <w:szCs w:val="28"/>
        </w:rPr>
      </w:pPr>
      <w:r>
        <w:rPr>
          <w:rFonts w:ascii="Times New Roman" w:hAnsi="Times New Roman" w:cs="Times New Roman"/>
          <w:sz w:val="28"/>
          <w:szCs w:val="28"/>
        </w:rPr>
        <w:t>Tain: Do tell…</w:t>
      </w:r>
    </w:p>
    <w:p w14:paraId="0EBFEB9A" w14:textId="2E6E80B1" w:rsidR="00A31F28" w:rsidRDefault="00A31F28" w:rsidP="00DD2C4A">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Wade: He is a recent convert and decided to go back to the beginning of the show and listen to some of our first episodes.</w:t>
      </w:r>
    </w:p>
    <w:p w14:paraId="63922CDB" w14:textId="4DD0D292" w:rsidR="00A31F28" w:rsidRDefault="00A31F28" w:rsidP="00DD2C4A">
      <w:pPr>
        <w:spacing w:line="480" w:lineRule="auto"/>
        <w:jc w:val="both"/>
        <w:rPr>
          <w:rFonts w:ascii="Times New Roman" w:hAnsi="Times New Roman" w:cs="Times New Roman"/>
          <w:sz w:val="28"/>
          <w:szCs w:val="28"/>
        </w:rPr>
      </w:pPr>
      <w:r>
        <w:rPr>
          <w:rFonts w:ascii="Times New Roman" w:hAnsi="Times New Roman" w:cs="Times New Roman"/>
          <w:sz w:val="28"/>
          <w:szCs w:val="28"/>
        </w:rPr>
        <w:t>Tain: Wow, a real glutton for punishment – I mean enlightenment. All the way back to July 2019, huh?</w:t>
      </w:r>
    </w:p>
    <w:p w14:paraId="6CE6E032" w14:textId="116A222D" w:rsidR="00A31F28" w:rsidRDefault="00A31F28" w:rsidP="00DD2C4A">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Wade: Indeed! Anywho – he noted just how polished we are in our presentation in our more recent episodes.</w:t>
      </w:r>
    </w:p>
    <w:p w14:paraId="69FCB504" w14:textId="20FAFD88" w:rsidR="00A31F28" w:rsidRDefault="00A31F28" w:rsidP="00DD2C4A">
      <w:pPr>
        <w:spacing w:line="480" w:lineRule="auto"/>
        <w:jc w:val="both"/>
        <w:rPr>
          <w:rFonts w:ascii="Times New Roman" w:hAnsi="Times New Roman" w:cs="Times New Roman"/>
          <w:sz w:val="28"/>
          <w:szCs w:val="28"/>
        </w:rPr>
      </w:pPr>
      <w:r>
        <w:rPr>
          <w:rFonts w:ascii="Times New Roman" w:hAnsi="Times New Roman" w:cs="Times New Roman"/>
          <w:sz w:val="28"/>
          <w:szCs w:val="28"/>
        </w:rPr>
        <w:t>Tain: Boy, have we got him fooled! But that makes me think he sensed a change in our “polish?”</w:t>
      </w:r>
    </w:p>
    <w:p w14:paraId="1A33A804" w14:textId="4AC16D94" w:rsidR="0087627F" w:rsidRPr="0087627F" w:rsidRDefault="0087627F" w:rsidP="0087627F">
      <w:pPr>
        <w:tabs>
          <w:tab w:val="left" w:pos="5670"/>
        </w:tabs>
        <w:rPr>
          <w:rFonts w:ascii="Times New Roman" w:hAnsi="Times New Roman" w:cs="Times New Roman"/>
          <w:sz w:val="28"/>
          <w:szCs w:val="28"/>
        </w:rPr>
      </w:pPr>
      <w:r>
        <w:rPr>
          <w:rFonts w:ascii="Times New Roman" w:hAnsi="Times New Roman" w:cs="Times New Roman"/>
          <w:sz w:val="28"/>
          <w:szCs w:val="28"/>
        </w:rPr>
        <w:tab/>
      </w:r>
    </w:p>
    <w:p w14:paraId="540778A5" w14:textId="3281CD1D" w:rsidR="00A31F28" w:rsidRDefault="00A31F28" w:rsidP="00DD2C4A">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Wade: It was all positive, but he did note that the skills of the hosts seem to have evolved over the years.</w:t>
      </w:r>
    </w:p>
    <w:p w14:paraId="6CFAF431" w14:textId="5E7722D4" w:rsidR="00A31F28" w:rsidRDefault="00A31F28" w:rsidP="00DD2C4A">
      <w:pPr>
        <w:spacing w:line="480" w:lineRule="auto"/>
        <w:jc w:val="both"/>
        <w:rPr>
          <w:rFonts w:ascii="Times New Roman" w:hAnsi="Times New Roman" w:cs="Times New Roman"/>
          <w:sz w:val="28"/>
          <w:szCs w:val="28"/>
        </w:rPr>
      </w:pPr>
      <w:r>
        <w:rPr>
          <w:rFonts w:ascii="Times New Roman" w:hAnsi="Times New Roman" w:cs="Times New Roman"/>
          <w:sz w:val="28"/>
          <w:szCs w:val="28"/>
        </w:rPr>
        <w:t>Tain: Well, I hope that is true – both that we have gotten better at this AND that we do a decent job presenting. Which brings us full circle to our guest for today.</w:t>
      </w:r>
    </w:p>
    <w:p w14:paraId="06991FF8" w14:textId="38D5F4E1" w:rsidR="00A31F28" w:rsidRDefault="00A31F28" w:rsidP="00DD2C4A">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Wade: Sam Britt is a man I have known for years – from his time in Augusta and now in Atlanta. The most important part of his bio is that he married a truly wonderful woman, Sarah (Wagnon) Britt</w:t>
      </w:r>
      <w:r w:rsidR="00A5783A">
        <w:rPr>
          <w:rFonts w:ascii="Times New Roman" w:hAnsi="Times New Roman" w:cs="Times New Roman"/>
          <w:b/>
          <w:bCs/>
          <w:sz w:val="28"/>
          <w:szCs w:val="28"/>
        </w:rPr>
        <w:t>. I even was lucky enough to attend their wedding!</w:t>
      </w:r>
    </w:p>
    <w:p w14:paraId="0666786C" w14:textId="10159730" w:rsidR="00A5783A" w:rsidRDefault="00A5783A" w:rsidP="00DD2C4A">
      <w:pPr>
        <w:spacing w:line="480" w:lineRule="auto"/>
        <w:jc w:val="both"/>
        <w:rPr>
          <w:rFonts w:ascii="Times New Roman" w:hAnsi="Times New Roman" w:cs="Times New Roman"/>
          <w:sz w:val="28"/>
          <w:szCs w:val="28"/>
        </w:rPr>
      </w:pPr>
      <w:r>
        <w:rPr>
          <w:rFonts w:ascii="Times New Roman" w:hAnsi="Times New Roman" w:cs="Times New Roman"/>
          <w:sz w:val="28"/>
          <w:szCs w:val="28"/>
        </w:rPr>
        <w:t>Tain: Today, we are going to talk with Sam about his experiences with the new legal requirements associated with the 2025 tort reform law - so let’s jump right in and have Sam introduce himself to the audience and tell us a little about his background</w:t>
      </w:r>
    </w:p>
    <w:p w14:paraId="317E7ED4" w14:textId="5CD46647" w:rsidR="00A5783A" w:rsidRDefault="00A5783A" w:rsidP="00DD2C4A">
      <w:pPr>
        <w:spacing w:line="480" w:lineRule="auto"/>
        <w:jc w:val="both"/>
        <w:rPr>
          <w:rFonts w:ascii="Times New Roman" w:hAnsi="Times New Roman" w:cs="Times New Roman"/>
          <w:sz w:val="28"/>
          <w:szCs w:val="28"/>
        </w:rPr>
      </w:pPr>
      <w:r>
        <w:rPr>
          <w:rFonts w:ascii="Times New Roman" w:hAnsi="Times New Roman" w:cs="Times New Roman"/>
          <w:sz w:val="28"/>
          <w:szCs w:val="28"/>
        </w:rPr>
        <w:pict w14:anchorId="5B6494C6">
          <v:rect id="_x0000_i1046" style="width:0;height:1.5pt" o:hralign="center" o:hrstd="t" o:hr="t" fillcolor="#a0a0a0" stroked="f"/>
        </w:pict>
      </w:r>
    </w:p>
    <w:p w14:paraId="5EB91C9B" w14:textId="12968929" w:rsidR="00A5783A" w:rsidRDefault="00A5783A" w:rsidP="00DD2C4A">
      <w:pPr>
        <w:spacing w:line="480" w:lineRule="auto"/>
        <w:jc w:val="both"/>
        <w:rPr>
          <w:rFonts w:ascii="Times New Roman" w:hAnsi="Times New Roman" w:cs="Times New Roman"/>
          <w:sz w:val="28"/>
          <w:szCs w:val="28"/>
        </w:rPr>
      </w:pPr>
      <w:r>
        <w:rPr>
          <w:rFonts w:ascii="Times New Roman" w:hAnsi="Times New Roman" w:cs="Times New Roman"/>
          <w:sz w:val="28"/>
          <w:szCs w:val="28"/>
        </w:rPr>
        <w:t>-Partner with McGrew, Miller, Bomar &amp; Bagley</w:t>
      </w:r>
    </w:p>
    <w:p w14:paraId="70176367" w14:textId="2B968584" w:rsidR="00A5783A" w:rsidRDefault="00A5783A" w:rsidP="00DD2C4A">
      <w:pPr>
        <w:spacing w:line="480" w:lineRule="auto"/>
        <w:jc w:val="both"/>
        <w:rPr>
          <w:rFonts w:ascii="Times New Roman" w:hAnsi="Times New Roman" w:cs="Times New Roman"/>
          <w:sz w:val="28"/>
          <w:szCs w:val="28"/>
        </w:rPr>
      </w:pPr>
      <w:r>
        <w:rPr>
          <w:rFonts w:ascii="Times New Roman" w:hAnsi="Times New Roman" w:cs="Times New Roman"/>
          <w:sz w:val="28"/>
          <w:szCs w:val="28"/>
        </w:rPr>
        <w:t>-Almost exclusively handles defense of medical malpractice cases</w:t>
      </w:r>
    </w:p>
    <w:p w14:paraId="2E06E672" w14:textId="7EBFA786" w:rsidR="00A5783A" w:rsidRDefault="00A5783A" w:rsidP="00DD2C4A">
      <w:pPr>
        <w:spacing w:line="480" w:lineRule="auto"/>
        <w:jc w:val="both"/>
        <w:rPr>
          <w:rFonts w:ascii="Times New Roman" w:hAnsi="Times New Roman" w:cs="Times New Roman"/>
          <w:sz w:val="28"/>
          <w:szCs w:val="28"/>
        </w:rPr>
      </w:pPr>
      <w:r>
        <w:rPr>
          <w:rFonts w:ascii="Times New Roman" w:hAnsi="Times New Roman" w:cs="Times New Roman"/>
          <w:sz w:val="28"/>
          <w:szCs w:val="28"/>
        </w:rPr>
        <w:t>-Married to Sarah (Wagnon) Britt (also a lawyer- and formerly worked in Augusta) and two awesome boys</w:t>
      </w:r>
    </w:p>
    <w:p w14:paraId="1DE17A81" w14:textId="136D4493" w:rsidR="00A5783A" w:rsidRDefault="00A5783A" w:rsidP="00DD2C4A">
      <w:pPr>
        <w:spacing w:line="480" w:lineRule="auto"/>
        <w:jc w:val="both"/>
        <w:rPr>
          <w:rFonts w:ascii="Times New Roman" w:hAnsi="Times New Roman" w:cs="Times New Roman"/>
          <w:sz w:val="28"/>
          <w:szCs w:val="28"/>
        </w:rPr>
      </w:pPr>
      <w:r>
        <w:rPr>
          <w:rFonts w:ascii="Times New Roman" w:hAnsi="Times New Roman" w:cs="Times New Roman"/>
          <w:sz w:val="28"/>
          <w:szCs w:val="28"/>
        </w:rPr>
        <w:pict w14:anchorId="74A5B067">
          <v:rect id="_x0000_i1047" style="width:0;height:1.5pt" o:hralign="center" o:hrstd="t" o:hr="t" fillcolor="#a0a0a0" stroked="f"/>
        </w:pict>
      </w:r>
    </w:p>
    <w:p w14:paraId="77D99656" w14:textId="4E377D78" w:rsidR="00A5783A" w:rsidRDefault="00A5783A" w:rsidP="00DD2C4A">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Sam co-authored an article that appeared in the </w:t>
      </w:r>
      <w:r w:rsidRPr="000B6312">
        <w:rPr>
          <w:rFonts w:ascii="Times New Roman" w:hAnsi="Times New Roman" w:cs="Times New Roman"/>
          <w:i/>
          <w:iCs/>
          <w:sz w:val="28"/>
          <w:szCs w:val="28"/>
        </w:rPr>
        <w:t>Georgia Defense Lawyer</w:t>
      </w:r>
      <w:r>
        <w:rPr>
          <w:rFonts w:ascii="Times New Roman" w:hAnsi="Times New Roman" w:cs="Times New Roman"/>
          <w:sz w:val="28"/>
          <w:szCs w:val="28"/>
        </w:rPr>
        <w:t xml:space="preserve"> magazine</w:t>
      </w:r>
      <w:r w:rsidR="0087627F">
        <w:rPr>
          <w:rFonts w:ascii="Times New Roman" w:hAnsi="Times New Roman" w:cs="Times New Roman"/>
          <w:sz w:val="28"/>
          <w:szCs w:val="28"/>
        </w:rPr>
        <w:t xml:space="preserve"> </w:t>
      </w:r>
      <w:r w:rsidR="000B6312">
        <w:rPr>
          <w:rFonts w:ascii="Times New Roman" w:hAnsi="Times New Roman" w:cs="Times New Roman"/>
          <w:sz w:val="28"/>
          <w:szCs w:val="28"/>
        </w:rPr>
        <w:t xml:space="preserve">(published by GDLA) </w:t>
      </w:r>
      <w:r w:rsidR="0087627F">
        <w:rPr>
          <w:rFonts w:ascii="Times New Roman" w:hAnsi="Times New Roman" w:cs="Times New Roman"/>
          <w:sz w:val="28"/>
          <w:szCs w:val="28"/>
        </w:rPr>
        <w:t>recently</w:t>
      </w:r>
      <w:r>
        <w:rPr>
          <w:rFonts w:ascii="Times New Roman" w:hAnsi="Times New Roman" w:cs="Times New Roman"/>
          <w:sz w:val="28"/>
          <w:szCs w:val="28"/>
        </w:rPr>
        <w:t xml:space="preserve"> that Wade saw and immediately thought that he would be a great person to have discuss the realities of the new law on the podcast.</w:t>
      </w:r>
    </w:p>
    <w:p w14:paraId="28954467" w14:textId="45CFE2E7" w:rsidR="00A5783A" w:rsidRDefault="00A5783A" w:rsidP="0087627F">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We had Sen. John Kennedy on the podcast shortly after the 2025 Tort Reform package was passed</w:t>
      </w:r>
      <w:r w:rsidR="0087627F">
        <w:rPr>
          <w:rFonts w:ascii="Times New Roman" w:hAnsi="Times New Roman" w:cs="Times New Roman"/>
          <w:sz w:val="28"/>
          <w:szCs w:val="28"/>
        </w:rPr>
        <w:t xml:space="preserve"> (Episode 163 as the numbering appears on the podcast apps)</w:t>
      </w:r>
    </w:p>
    <w:p w14:paraId="6D4A467C" w14:textId="112EDC12" w:rsidR="0087627F" w:rsidRDefault="0087627F" w:rsidP="0087627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While that podcast gave the legislative perspective on the </w:t>
      </w:r>
      <w:r w:rsidR="00D22C0D">
        <w:rPr>
          <w:rFonts w:ascii="Times New Roman" w:hAnsi="Times New Roman" w:cs="Times New Roman"/>
          <w:sz w:val="28"/>
          <w:szCs w:val="28"/>
        </w:rPr>
        <w:t xml:space="preserve">entire </w:t>
      </w:r>
      <w:r>
        <w:rPr>
          <w:rFonts w:ascii="Times New Roman" w:hAnsi="Times New Roman" w:cs="Times New Roman"/>
          <w:sz w:val="28"/>
          <w:szCs w:val="28"/>
        </w:rPr>
        <w:t>Tort Reform bill</w:t>
      </w:r>
      <w:r w:rsidR="00D22C0D">
        <w:rPr>
          <w:rFonts w:ascii="Times New Roman" w:hAnsi="Times New Roman" w:cs="Times New Roman"/>
          <w:sz w:val="28"/>
          <w:szCs w:val="28"/>
        </w:rPr>
        <w:t xml:space="preserve"> (SB 68),</w:t>
      </w:r>
      <w:r>
        <w:rPr>
          <w:rFonts w:ascii="Times New Roman" w:hAnsi="Times New Roman" w:cs="Times New Roman"/>
          <w:sz w:val="28"/>
          <w:szCs w:val="28"/>
        </w:rPr>
        <w:t xml:space="preserve"> we thought it would be good to have someone join us on the podcast to discuss the realities of the new law</w:t>
      </w:r>
      <w:r w:rsidR="00D22C0D">
        <w:rPr>
          <w:rFonts w:ascii="Times New Roman" w:hAnsi="Times New Roman" w:cs="Times New Roman"/>
          <w:sz w:val="28"/>
          <w:szCs w:val="28"/>
        </w:rPr>
        <w:t xml:space="preserve"> – breaking it down a bit</w:t>
      </w:r>
    </w:p>
    <w:p w14:paraId="495EDD06" w14:textId="784F9041" w:rsidR="0087627F" w:rsidRDefault="0087627F" w:rsidP="00D22C0D">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But as we discussed in that prior episode, the 2025 Tort Reform package had several different parts. Today, we are going to focus on </w:t>
      </w:r>
      <w:r w:rsidR="00C04C5E">
        <w:rPr>
          <w:rFonts w:ascii="Times New Roman" w:hAnsi="Times New Roman" w:cs="Times New Roman"/>
          <w:sz w:val="28"/>
          <w:szCs w:val="28"/>
        </w:rPr>
        <w:t>the new OCGA § 51-12-15 that some people refer to as the “bifurcation statute”</w:t>
      </w:r>
      <w:r w:rsidR="00FF0281">
        <w:rPr>
          <w:rFonts w:ascii="Times New Roman" w:hAnsi="Times New Roman" w:cs="Times New Roman"/>
          <w:sz w:val="28"/>
          <w:szCs w:val="28"/>
        </w:rPr>
        <w:t xml:space="preserve"> and the portion of the bill dealing with non-economic damage discussion prior to closing arguments</w:t>
      </w:r>
      <w:r w:rsidR="00D22C0D">
        <w:rPr>
          <w:rFonts w:ascii="Times New Roman" w:hAnsi="Times New Roman" w:cs="Times New Roman"/>
          <w:sz w:val="28"/>
          <w:szCs w:val="28"/>
        </w:rPr>
        <w:t xml:space="preserve"> – OCGA § 9-10-184</w:t>
      </w:r>
      <w:r w:rsidR="00FF0281">
        <w:rPr>
          <w:rFonts w:ascii="Times New Roman" w:hAnsi="Times New Roman" w:cs="Times New Roman"/>
          <w:sz w:val="28"/>
          <w:szCs w:val="28"/>
        </w:rPr>
        <w:t>.</w:t>
      </w:r>
    </w:p>
    <w:p w14:paraId="17652964" w14:textId="6D939A26" w:rsidR="0087627F" w:rsidRPr="00A5783A" w:rsidRDefault="0087627F" w:rsidP="0087627F">
      <w:pPr>
        <w:spacing w:line="480" w:lineRule="auto"/>
        <w:jc w:val="both"/>
        <w:rPr>
          <w:rFonts w:ascii="Times New Roman" w:hAnsi="Times New Roman" w:cs="Times New Roman"/>
          <w:sz w:val="28"/>
          <w:szCs w:val="28"/>
        </w:rPr>
      </w:pPr>
      <w:r>
        <w:rPr>
          <w:rFonts w:ascii="Times New Roman" w:hAnsi="Times New Roman" w:cs="Times New Roman"/>
          <w:sz w:val="28"/>
          <w:szCs w:val="28"/>
        </w:rPr>
        <w:pict w14:anchorId="60530FD7">
          <v:rect id="_x0000_i1048" style="width:0;height:1.5pt" o:hralign="center" o:hrstd="t" o:hr="t" fillcolor="#a0a0a0" stroked="f"/>
        </w:pict>
      </w:r>
    </w:p>
    <w:p w14:paraId="3B6452A8" w14:textId="1658BE61" w:rsidR="00A31F28" w:rsidRDefault="00C04C5E" w:rsidP="00DD2C4A">
      <w:pPr>
        <w:spacing w:line="480" w:lineRule="auto"/>
        <w:jc w:val="both"/>
        <w:rPr>
          <w:rFonts w:ascii="Times New Roman" w:hAnsi="Times New Roman" w:cs="Times New Roman"/>
          <w:sz w:val="28"/>
          <w:szCs w:val="28"/>
        </w:rPr>
      </w:pPr>
      <w:r>
        <w:rPr>
          <w:rFonts w:ascii="Times New Roman" w:hAnsi="Times New Roman" w:cs="Times New Roman"/>
          <w:sz w:val="28"/>
          <w:szCs w:val="28"/>
        </w:rPr>
        <w:t>Sam’s article begins with:</w:t>
      </w:r>
    </w:p>
    <w:p w14:paraId="54FE8914" w14:textId="163DF94E" w:rsidR="00C04C5E" w:rsidRDefault="00C04C5E" w:rsidP="00DD2C4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“While the 2025 Tort reform package was primarily designed to curd large jury verdicts in premises liability and automobile collision cases, it introduces two key </w:t>
      </w:r>
      <w:r>
        <w:rPr>
          <w:rFonts w:ascii="Times New Roman" w:hAnsi="Times New Roman" w:cs="Times New Roman"/>
          <w:sz w:val="28"/>
          <w:szCs w:val="28"/>
        </w:rPr>
        <w:lastRenderedPageBreak/>
        <w:t>procedural reforms that may significantly impact medical malpractice litigation: (1) bifurcation of trial into separate phases for liability and damages, and (2) a prohibition against suggesting monetary amounts for non-economic damages prior to closing argument.”</w:t>
      </w:r>
    </w:p>
    <w:p w14:paraId="76B217C1" w14:textId="46877A37" w:rsidR="00D22C0D" w:rsidRDefault="00D22C0D" w:rsidP="00DD2C4A">
      <w:pPr>
        <w:spacing w:line="480" w:lineRule="auto"/>
        <w:jc w:val="both"/>
        <w:rPr>
          <w:rFonts w:ascii="Times New Roman" w:hAnsi="Times New Roman" w:cs="Times New Roman"/>
          <w:sz w:val="28"/>
          <w:szCs w:val="28"/>
        </w:rPr>
      </w:pPr>
      <w:r>
        <w:rPr>
          <w:rFonts w:ascii="Times New Roman" w:hAnsi="Times New Roman" w:cs="Times New Roman"/>
          <w:sz w:val="28"/>
          <w:szCs w:val="28"/>
        </w:rPr>
        <w:tab/>
        <w:t>That’s a great way to frame what we want to discuss today.</w:t>
      </w:r>
    </w:p>
    <w:p w14:paraId="7C4C2A81" w14:textId="039C5DA5" w:rsidR="00D22C0D" w:rsidRDefault="00D22C0D" w:rsidP="00DD2C4A">
      <w:pPr>
        <w:spacing w:line="480" w:lineRule="auto"/>
        <w:jc w:val="both"/>
        <w:rPr>
          <w:rFonts w:ascii="Times New Roman" w:hAnsi="Times New Roman" w:cs="Times New Roman"/>
          <w:sz w:val="28"/>
          <w:szCs w:val="28"/>
        </w:rPr>
      </w:pPr>
      <w:r>
        <w:rPr>
          <w:rFonts w:ascii="Times New Roman" w:hAnsi="Times New Roman" w:cs="Times New Roman"/>
          <w:sz w:val="28"/>
          <w:szCs w:val="28"/>
        </w:rPr>
        <w:t>Let’s begin with the “bifurcation statute”</w:t>
      </w:r>
    </w:p>
    <w:p w14:paraId="2F4E98AC" w14:textId="73888706" w:rsidR="00D22C0D" w:rsidRPr="00C04C5E" w:rsidRDefault="00D22C0D" w:rsidP="00DD2C4A">
      <w:pPr>
        <w:spacing w:line="480" w:lineRule="auto"/>
        <w:jc w:val="both"/>
        <w:rPr>
          <w:rFonts w:ascii="Times New Roman" w:hAnsi="Times New Roman" w:cs="Times New Roman"/>
          <w:sz w:val="28"/>
          <w:szCs w:val="28"/>
        </w:rPr>
      </w:pPr>
      <w:r>
        <w:rPr>
          <w:rFonts w:ascii="Times New Roman" w:hAnsi="Times New Roman" w:cs="Times New Roman"/>
          <w:sz w:val="28"/>
          <w:szCs w:val="28"/>
        </w:rPr>
        <w:pict w14:anchorId="1F35F1C3">
          <v:rect id="_x0000_i1049" style="width:0;height:1.5pt" o:hralign="center" o:hrstd="t" o:hr="t" fillcolor="#a0a0a0" stroked="f"/>
        </w:pict>
      </w:r>
    </w:p>
    <w:p w14:paraId="23B02875" w14:textId="191D47B0" w:rsidR="00582336" w:rsidRDefault="00D22C0D" w:rsidP="00973452">
      <w:pPr>
        <w:spacing w:line="480" w:lineRule="auto"/>
        <w:rPr>
          <w:rFonts w:ascii="Times New Roman" w:hAnsi="Times New Roman" w:cs="Times New Roman"/>
          <w:sz w:val="28"/>
          <w:szCs w:val="28"/>
        </w:rPr>
      </w:pPr>
      <w:r>
        <w:rPr>
          <w:rFonts w:ascii="Times New Roman" w:hAnsi="Times New Roman" w:cs="Times New Roman"/>
          <w:sz w:val="28"/>
          <w:szCs w:val="28"/>
        </w:rPr>
        <w:t>Sam, have you been involved with any litigation that used the new OCGA § 51-12-15 since it was created earlier this year?</w:t>
      </w:r>
    </w:p>
    <w:p w14:paraId="149C4DC4" w14:textId="21261A0D" w:rsidR="00D22C0D" w:rsidRDefault="00D22C0D" w:rsidP="00D22C0D">
      <w:pPr>
        <w:spacing w:line="480" w:lineRule="auto"/>
        <w:ind w:left="720"/>
        <w:rPr>
          <w:rFonts w:ascii="Times New Roman" w:hAnsi="Times New Roman" w:cs="Times New Roman"/>
          <w:sz w:val="28"/>
          <w:szCs w:val="28"/>
        </w:rPr>
      </w:pPr>
      <w:r>
        <w:rPr>
          <w:rFonts w:ascii="Times New Roman" w:hAnsi="Times New Roman" w:cs="Times New Roman"/>
          <w:sz w:val="28"/>
          <w:szCs w:val="28"/>
        </w:rPr>
        <w:t>Before we go into depth with your experience, let’s make sure our listeners understand the basic requirements of the statute</w:t>
      </w:r>
    </w:p>
    <w:p w14:paraId="264DBCFB" w14:textId="0D33767B" w:rsidR="00D22C0D" w:rsidRDefault="00D22C0D" w:rsidP="00D22C0D">
      <w:pPr>
        <w:spacing w:line="480" w:lineRule="auto"/>
        <w:rPr>
          <w:rFonts w:ascii="Times New Roman" w:hAnsi="Times New Roman" w:cs="Times New Roman"/>
          <w:sz w:val="28"/>
          <w:szCs w:val="28"/>
        </w:rPr>
      </w:pPr>
      <w:r>
        <w:rPr>
          <w:rFonts w:ascii="Times New Roman" w:hAnsi="Times New Roman" w:cs="Times New Roman"/>
          <w:sz w:val="28"/>
          <w:szCs w:val="28"/>
        </w:rPr>
        <w:t xml:space="preserve">To invoke the provisions of the statute requires “written demand </w:t>
      </w:r>
      <w:r w:rsidRPr="00150DB4">
        <w:rPr>
          <w:rFonts w:ascii="Times New Roman" w:hAnsi="Times New Roman" w:cs="Times New Roman"/>
          <w:sz w:val="28"/>
          <w:szCs w:val="28"/>
          <w:u w:val="single"/>
        </w:rPr>
        <w:t>prior to the entry of pretrial order</w:t>
      </w:r>
      <w:r>
        <w:rPr>
          <w:rFonts w:ascii="Times New Roman" w:hAnsi="Times New Roman" w:cs="Times New Roman"/>
          <w:sz w:val="28"/>
          <w:szCs w:val="28"/>
        </w:rPr>
        <w:t>.”</w:t>
      </w:r>
      <w:r w:rsidR="00150DB4">
        <w:rPr>
          <w:rStyle w:val="EndnoteReference"/>
          <w:rFonts w:ascii="Times New Roman" w:hAnsi="Times New Roman" w:cs="Times New Roman"/>
          <w:sz w:val="28"/>
          <w:szCs w:val="28"/>
        </w:rPr>
        <w:endnoteReference w:id="1"/>
      </w:r>
    </w:p>
    <w:p w14:paraId="20B764DA" w14:textId="72934420" w:rsidR="00150DB4" w:rsidRDefault="00150DB4" w:rsidP="00150DB4">
      <w:pPr>
        <w:spacing w:line="480" w:lineRule="auto"/>
        <w:ind w:left="720"/>
        <w:rPr>
          <w:rFonts w:ascii="Times New Roman" w:hAnsi="Times New Roman" w:cs="Times New Roman"/>
          <w:sz w:val="28"/>
          <w:szCs w:val="28"/>
        </w:rPr>
      </w:pPr>
      <w:r>
        <w:rPr>
          <w:rFonts w:ascii="Times New Roman" w:hAnsi="Times New Roman" w:cs="Times New Roman"/>
          <w:sz w:val="28"/>
          <w:szCs w:val="28"/>
        </w:rPr>
        <w:t>Trial court may reject an election by any party made under [the statute] and can order concurrent trial of fault and damages only if there is a motion in opposition and the court determines:</w:t>
      </w:r>
    </w:p>
    <w:p w14:paraId="01C46990" w14:textId="5E0B76F0" w:rsidR="00150DB4" w:rsidRDefault="00150DB4" w:rsidP="00150DB4">
      <w:pPr>
        <w:pStyle w:val="ListParagraph"/>
        <w:numPr>
          <w:ilvl w:val="0"/>
          <w:numId w:val="8"/>
        </w:numPr>
        <w:spacing w:line="480" w:lineRule="auto"/>
        <w:rPr>
          <w:rFonts w:ascii="Times New Roman" w:hAnsi="Times New Roman" w:cs="Times New Roman"/>
          <w:sz w:val="28"/>
          <w:szCs w:val="28"/>
        </w:rPr>
      </w:pPr>
      <w:r>
        <w:rPr>
          <w:rFonts w:ascii="Times New Roman" w:hAnsi="Times New Roman" w:cs="Times New Roman"/>
          <w:sz w:val="28"/>
          <w:szCs w:val="28"/>
        </w:rPr>
        <w:lastRenderedPageBreak/>
        <w:t>The plaintiff was injured by alleged sexual offense and would likely suffer serious psychological or emotional distress if required to testify more than once; OR</w:t>
      </w:r>
    </w:p>
    <w:p w14:paraId="129FA933" w14:textId="042A443A" w:rsidR="00150DB4" w:rsidRDefault="00150DB4" w:rsidP="00150DB4">
      <w:pPr>
        <w:pStyle w:val="ListParagraph"/>
        <w:numPr>
          <w:ilvl w:val="0"/>
          <w:numId w:val="8"/>
        </w:numPr>
        <w:spacing w:line="480" w:lineRule="auto"/>
        <w:rPr>
          <w:rFonts w:ascii="Times New Roman" w:hAnsi="Times New Roman" w:cs="Times New Roman"/>
          <w:sz w:val="28"/>
          <w:szCs w:val="28"/>
        </w:rPr>
      </w:pPr>
      <w:r>
        <w:rPr>
          <w:rFonts w:ascii="Times New Roman" w:hAnsi="Times New Roman" w:cs="Times New Roman"/>
          <w:sz w:val="28"/>
          <w:szCs w:val="28"/>
        </w:rPr>
        <w:t>The amount in controversy is less than $150,000.</w:t>
      </w:r>
      <w:r>
        <w:rPr>
          <w:rStyle w:val="EndnoteReference"/>
          <w:rFonts w:ascii="Times New Roman" w:hAnsi="Times New Roman" w:cs="Times New Roman"/>
          <w:sz w:val="28"/>
          <w:szCs w:val="28"/>
        </w:rPr>
        <w:endnoteReference w:id="2"/>
      </w:r>
    </w:p>
    <w:p w14:paraId="60AD99BE" w14:textId="79E5E8AA" w:rsidR="00150DB4" w:rsidRDefault="00150DB4" w:rsidP="00150DB4">
      <w:pPr>
        <w:spacing w:line="480" w:lineRule="auto"/>
        <w:rPr>
          <w:rFonts w:ascii="Times New Roman" w:hAnsi="Times New Roman" w:cs="Times New Roman"/>
          <w:sz w:val="28"/>
          <w:szCs w:val="28"/>
        </w:rPr>
      </w:pPr>
      <w:r>
        <w:rPr>
          <w:rFonts w:ascii="Times New Roman" w:hAnsi="Times New Roman" w:cs="Times New Roman"/>
          <w:sz w:val="28"/>
          <w:szCs w:val="28"/>
        </w:rPr>
        <w:t>[Discuss]</w:t>
      </w:r>
    </w:p>
    <w:p w14:paraId="2EB483E2" w14:textId="0F075D53" w:rsidR="000B6312" w:rsidRPr="00150DB4" w:rsidRDefault="000B6312" w:rsidP="00150DB4">
      <w:pPr>
        <w:spacing w:line="480" w:lineRule="auto"/>
        <w:rPr>
          <w:rFonts w:ascii="Times New Roman" w:hAnsi="Times New Roman" w:cs="Times New Roman"/>
          <w:sz w:val="28"/>
          <w:szCs w:val="28"/>
        </w:rPr>
      </w:pPr>
      <w:r>
        <w:rPr>
          <w:rFonts w:ascii="Times New Roman" w:hAnsi="Times New Roman" w:cs="Times New Roman"/>
          <w:sz w:val="28"/>
          <w:szCs w:val="28"/>
        </w:rPr>
        <w:t>NOTE: Sam’s article notes that med malpractice cases often involve catastrophic injuries which naturally produce sympathy – and bifurcation favors defendants. “…the reform reduces the chance that jurors will conflate bad outcomes with bad medicine.”</w:t>
      </w:r>
    </w:p>
    <w:p w14:paraId="7B978801" w14:textId="33093B07" w:rsidR="00150DB4" w:rsidRPr="00150DB4" w:rsidRDefault="00150DB4" w:rsidP="00150DB4">
      <w:pPr>
        <w:spacing w:line="480" w:lineRule="auto"/>
        <w:rPr>
          <w:rFonts w:ascii="Times New Roman" w:hAnsi="Times New Roman" w:cs="Times New Roman"/>
          <w:sz w:val="28"/>
          <w:szCs w:val="28"/>
        </w:rPr>
      </w:pPr>
      <w:r>
        <w:rPr>
          <w:rFonts w:ascii="Times New Roman" w:hAnsi="Times New Roman" w:cs="Times New Roman"/>
          <w:sz w:val="28"/>
          <w:szCs w:val="28"/>
        </w:rPr>
        <w:pict w14:anchorId="53F682EA">
          <v:rect id="_x0000_i1050" style="width:0;height:1.5pt" o:hralign="center" o:hrstd="t" o:hr="t" fillcolor="#a0a0a0" stroked="f"/>
        </w:pict>
      </w:r>
    </w:p>
    <w:p w14:paraId="340D2432" w14:textId="3B2E69E7" w:rsidR="00150DB4" w:rsidRDefault="00150DB4" w:rsidP="00D22C0D">
      <w:pPr>
        <w:spacing w:line="480" w:lineRule="auto"/>
        <w:rPr>
          <w:rFonts w:ascii="Times New Roman" w:hAnsi="Times New Roman" w:cs="Times New Roman"/>
          <w:sz w:val="28"/>
          <w:szCs w:val="28"/>
        </w:rPr>
      </w:pPr>
      <w:r>
        <w:rPr>
          <w:rFonts w:ascii="Times New Roman" w:hAnsi="Times New Roman" w:cs="Times New Roman"/>
          <w:sz w:val="28"/>
          <w:szCs w:val="28"/>
        </w:rPr>
        <w:t>Now, assuming the request was timely made and no objection was made (or wasn’t successful), how does this bifurcation thing work.</w:t>
      </w:r>
    </w:p>
    <w:p w14:paraId="17D3FDFD" w14:textId="1B45390C" w:rsidR="00150DB4" w:rsidRDefault="00150DB4" w:rsidP="00D63085">
      <w:pPr>
        <w:spacing w:line="480" w:lineRule="auto"/>
        <w:ind w:left="720"/>
        <w:rPr>
          <w:rFonts w:ascii="Times New Roman" w:hAnsi="Times New Roman" w:cs="Times New Roman"/>
          <w:sz w:val="28"/>
          <w:szCs w:val="28"/>
        </w:rPr>
      </w:pPr>
      <w:r>
        <w:rPr>
          <w:rFonts w:ascii="Times New Roman" w:hAnsi="Times New Roman" w:cs="Times New Roman"/>
          <w:sz w:val="28"/>
          <w:szCs w:val="28"/>
        </w:rPr>
        <w:t>Tip to trial judges: Please settle this out in pretrial order/hearing – including the form of any verdict that you expect the jury to address IN EACH STAGE.</w:t>
      </w:r>
    </w:p>
    <w:p w14:paraId="4D2DC04B" w14:textId="041BA81D" w:rsidR="00D22C0D" w:rsidRDefault="00D22C0D" w:rsidP="00D22C0D">
      <w:pPr>
        <w:spacing w:line="480" w:lineRule="auto"/>
        <w:rPr>
          <w:rFonts w:ascii="Times New Roman" w:hAnsi="Times New Roman" w:cs="Times New Roman"/>
          <w:sz w:val="28"/>
          <w:szCs w:val="28"/>
        </w:rPr>
      </w:pPr>
      <w:r>
        <w:rPr>
          <w:rFonts w:ascii="Times New Roman" w:hAnsi="Times New Roman" w:cs="Times New Roman"/>
          <w:sz w:val="28"/>
          <w:szCs w:val="28"/>
        </w:rPr>
        <w:t xml:space="preserve">In the first phase, trier of fact shall determine the fault of each defendant and if the trier of fact determines that any defendant is at fault for plaintiff’s injuries or wrongful death, the trier of fact shall determine through an appropriate form of the </w:t>
      </w:r>
      <w:r>
        <w:rPr>
          <w:rFonts w:ascii="Times New Roman" w:hAnsi="Times New Roman" w:cs="Times New Roman"/>
          <w:sz w:val="28"/>
          <w:szCs w:val="28"/>
        </w:rPr>
        <w:lastRenderedPageBreak/>
        <w:t xml:space="preserve">verdict the percentages of fault for </w:t>
      </w:r>
      <w:r w:rsidRPr="00D63085">
        <w:rPr>
          <w:rFonts w:ascii="Times New Roman" w:hAnsi="Times New Roman" w:cs="Times New Roman"/>
          <w:sz w:val="28"/>
          <w:szCs w:val="28"/>
          <w:u w:val="single"/>
        </w:rPr>
        <w:t>all person or entities</w:t>
      </w:r>
      <w:r>
        <w:rPr>
          <w:rFonts w:ascii="Times New Roman" w:hAnsi="Times New Roman" w:cs="Times New Roman"/>
          <w:sz w:val="28"/>
          <w:szCs w:val="28"/>
        </w:rPr>
        <w:t xml:space="preserve"> that contributed to such injuries prior to any determination of the total amount of damages to be awarded, if any.</w:t>
      </w:r>
      <w:r w:rsidR="00150DB4">
        <w:rPr>
          <w:rFonts w:ascii="Times New Roman" w:hAnsi="Times New Roman" w:cs="Times New Roman"/>
          <w:sz w:val="28"/>
          <w:szCs w:val="28"/>
        </w:rPr>
        <w:t xml:space="preserve"> “The evidence and arguments of counsel in the first phase of the trial shall be limited to the issues provided for in this paragraph.”</w:t>
      </w:r>
      <w:r w:rsidR="00150DB4">
        <w:rPr>
          <w:rStyle w:val="EndnoteReference"/>
          <w:rFonts w:ascii="Times New Roman" w:hAnsi="Times New Roman" w:cs="Times New Roman"/>
          <w:sz w:val="28"/>
          <w:szCs w:val="28"/>
        </w:rPr>
        <w:endnoteReference w:id="3"/>
      </w:r>
    </w:p>
    <w:p w14:paraId="2118CEA9" w14:textId="727921A4" w:rsidR="00D63085" w:rsidRDefault="00D63085" w:rsidP="00D22C0D">
      <w:pPr>
        <w:spacing w:line="480" w:lineRule="auto"/>
        <w:rPr>
          <w:rFonts w:ascii="Times New Roman" w:hAnsi="Times New Roman" w:cs="Times New Roman"/>
          <w:sz w:val="28"/>
          <w:szCs w:val="28"/>
        </w:rPr>
      </w:pPr>
      <w:r>
        <w:rPr>
          <w:rFonts w:ascii="Times New Roman" w:hAnsi="Times New Roman" w:cs="Times New Roman"/>
          <w:sz w:val="28"/>
          <w:szCs w:val="28"/>
        </w:rPr>
        <w:tab/>
        <w:t>This provision incorporates a couple of different things worthy of discussion</w:t>
      </w:r>
    </w:p>
    <w:p w14:paraId="77914C31" w14:textId="63394BC1" w:rsidR="00D63085" w:rsidRDefault="00D63085" w:rsidP="00D22C0D">
      <w:pPr>
        <w:spacing w:line="480" w:lineRule="auto"/>
        <w:rPr>
          <w:rFonts w:ascii="Times New Roman" w:hAnsi="Times New Roman" w:cs="Times New Roman"/>
          <w:sz w:val="28"/>
          <w:szCs w:val="28"/>
        </w:rPr>
      </w:pPr>
      <w:r>
        <w:rPr>
          <w:rFonts w:ascii="Times New Roman" w:hAnsi="Times New Roman" w:cs="Times New Roman"/>
          <w:sz w:val="28"/>
          <w:szCs w:val="28"/>
        </w:rPr>
        <w:t>In the first phase, no discussion of damage award – but I do not think that means that you cannot discuss the results of the alleged negligence (photos, subsequent treatment, etc.) But I could be wrong!</w:t>
      </w:r>
    </w:p>
    <w:p w14:paraId="7A8293C6" w14:textId="6780253B" w:rsidR="00D63085" w:rsidRDefault="00D63085" w:rsidP="00D63085">
      <w:pPr>
        <w:spacing w:line="480" w:lineRule="auto"/>
        <w:ind w:left="720"/>
        <w:rPr>
          <w:rFonts w:ascii="Times New Roman" w:hAnsi="Times New Roman" w:cs="Times New Roman"/>
          <w:sz w:val="28"/>
          <w:szCs w:val="28"/>
        </w:rPr>
      </w:pPr>
      <w:r>
        <w:rPr>
          <w:rFonts w:ascii="Times New Roman" w:hAnsi="Times New Roman" w:cs="Times New Roman"/>
          <w:sz w:val="28"/>
          <w:szCs w:val="28"/>
        </w:rPr>
        <w:t>You also ask the jury to assess the percentage of fault for each person or entity who has fault – assuming that would include the plaintiff if there is a claim of contributory negligence.</w:t>
      </w:r>
    </w:p>
    <w:p w14:paraId="007F9B5B" w14:textId="59E6147E" w:rsidR="00D63085" w:rsidRDefault="00D63085" w:rsidP="00D22C0D">
      <w:pPr>
        <w:spacing w:line="48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Also, clearly involves the potential fault of non-parties</w:t>
      </w:r>
    </w:p>
    <w:p w14:paraId="5A2FA5AF" w14:textId="591FA939" w:rsidR="00D63085" w:rsidRDefault="00D63085" w:rsidP="00D22C0D">
      <w:pPr>
        <w:spacing w:line="480" w:lineRule="auto"/>
        <w:rPr>
          <w:rFonts w:ascii="Times New Roman" w:hAnsi="Times New Roman" w:cs="Times New Roman"/>
          <w:sz w:val="28"/>
          <w:szCs w:val="28"/>
        </w:rPr>
      </w:pPr>
      <w:r>
        <w:rPr>
          <w:rFonts w:ascii="Times New Roman" w:hAnsi="Times New Roman" w:cs="Times New Roman"/>
          <w:sz w:val="28"/>
          <w:szCs w:val="28"/>
        </w:rPr>
        <w:t>[Discuss]</w:t>
      </w:r>
    </w:p>
    <w:p w14:paraId="4DF52DA4" w14:textId="54DEABEC" w:rsidR="000B6312" w:rsidRDefault="000B6312" w:rsidP="00D22C0D">
      <w:pPr>
        <w:spacing w:line="480" w:lineRule="auto"/>
        <w:rPr>
          <w:rFonts w:ascii="Times New Roman" w:hAnsi="Times New Roman" w:cs="Times New Roman"/>
          <w:sz w:val="28"/>
          <w:szCs w:val="28"/>
        </w:rPr>
      </w:pPr>
      <w:r>
        <w:rPr>
          <w:rFonts w:ascii="Times New Roman" w:hAnsi="Times New Roman" w:cs="Times New Roman"/>
          <w:sz w:val="28"/>
          <w:szCs w:val="28"/>
        </w:rPr>
        <w:t>NOTE: Sam’s article discusses “consent to settle” provisions of physician insurer contracts and how bifurcation may help cases settle mid-trial. We should discuss.</w:t>
      </w:r>
    </w:p>
    <w:p w14:paraId="113A1C32" w14:textId="6D7C5B0C" w:rsidR="00D63085" w:rsidRDefault="00D63085" w:rsidP="00D22C0D">
      <w:pPr>
        <w:spacing w:line="480" w:lineRule="auto"/>
        <w:rPr>
          <w:rFonts w:ascii="Times New Roman" w:hAnsi="Times New Roman" w:cs="Times New Roman"/>
          <w:sz w:val="28"/>
          <w:szCs w:val="28"/>
        </w:rPr>
      </w:pPr>
      <w:r>
        <w:rPr>
          <w:rFonts w:ascii="Times New Roman" w:hAnsi="Times New Roman" w:cs="Times New Roman"/>
          <w:sz w:val="28"/>
          <w:szCs w:val="28"/>
        </w:rPr>
        <w:pict w14:anchorId="35D5FDF4">
          <v:rect id="_x0000_i1051" style="width:0;height:1.5pt" o:hralign="center" o:hrstd="t" o:hr="t" fillcolor="#a0a0a0" stroked="f"/>
        </w:pict>
      </w:r>
    </w:p>
    <w:p w14:paraId="2DD04F8B" w14:textId="55C6DE0D" w:rsidR="00D22C0D" w:rsidRDefault="00D63085" w:rsidP="00D22C0D">
      <w:pPr>
        <w:spacing w:line="480" w:lineRule="auto"/>
        <w:rPr>
          <w:rFonts w:ascii="Times New Roman" w:hAnsi="Times New Roman" w:cs="Times New Roman"/>
          <w:sz w:val="28"/>
          <w:szCs w:val="28"/>
        </w:rPr>
      </w:pPr>
      <w:r>
        <w:rPr>
          <w:rFonts w:ascii="Times New Roman" w:hAnsi="Times New Roman" w:cs="Times New Roman"/>
          <w:sz w:val="28"/>
          <w:szCs w:val="28"/>
        </w:rPr>
        <w:lastRenderedPageBreak/>
        <w:t>Assume the first phase of trial is complete and the jury has found that a party is some % at fault, you proceed to the second phase</w:t>
      </w:r>
    </w:p>
    <w:p w14:paraId="6E2577DF" w14:textId="700337FE" w:rsidR="00D63085" w:rsidRDefault="00D63085" w:rsidP="00D22C0D">
      <w:pPr>
        <w:spacing w:line="480" w:lineRule="auto"/>
        <w:rPr>
          <w:rFonts w:ascii="Times New Roman" w:hAnsi="Times New Roman" w:cs="Times New Roman"/>
          <w:sz w:val="28"/>
          <w:szCs w:val="28"/>
        </w:rPr>
      </w:pPr>
      <w:r>
        <w:rPr>
          <w:rFonts w:ascii="Times New Roman" w:hAnsi="Times New Roman" w:cs="Times New Roman"/>
          <w:sz w:val="28"/>
          <w:szCs w:val="28"/>
        </w:rPr>
        <w:tab/>
        <w:t>If the trier of fact finds in the first phase that any defendant is at fault for the plaintiff’s injuries or wrongful death, trial immediately recommenced with same judge and jury. “In the second phase of the trial, the trier of fact shall determine all compensatory damages to be awarded to the plaintiff, if any, and the evidence and arguments of counsel shall be limited to this issue.”</w:t>
      </w:r>
      <w:r>
        <w:rPr>
          <w:rStyle w:val="EndnoteReference"/>
          <w:rFonts w:ascii="Times New Roman" w:hAnsi="Times New Roman" w:cs="Times New Roman"/>
          <w:sz w:val="28"/>
          <w:szCs w:val="28"/>
        </w:rPr>
        <w:endnoteReference w:id="4"/>
      </w:r>
    </w:p>
    <w:p w14:paraId="2F04E344" w14:textId="6F75CD6D" w:rsidR="00D63085" w:rsidRDefault="00D63085" w:rsidP="00D22C0D">
      <w:pPr>
        <w:spacing w:line="480" w:lineRule="auto"/>
        <w:rPr>
          <w:rFonts w:ascii="Times New Roman" w:hAnsi="Times New Roman" w:cs="Times New Roman"/>
          <w:sz w:val="28"/>
          <w:szCs w:val="28"/>
        </w:rPr>
      </w:pPr>
      <w:r>
        <w:rPr>
          <w:rFonts w:ascii="Times New Roman" w:hAnsi="Times New Roman" w:cs="Times New Roman"/>
          <w:sz w:val="28"/>
          <w:szCs w:val="28"/>
        </w:rPr>
        <w:t>[DISCUSS]</w:t>
      </w:r>
    </w:p>
    <w:p w14:paraId="3EADA50B" w14:textId="5C8DF300" w:rsidR="000B6312" w:rsidRDefault="000B6312" w:rsidP="00D22C0D">
      <w:pPr>
        <w:spacing w:line="480" w:lineRule="auto"/>
        <w:rPr>
          <w:rFonts w:ascii="Times New Roman" w:hAnsi="Times New Roman" w:cs="Times New Roman"/>
          <w:sz w:val="28"/>
          <w:szCs w:val="28"/>
        </w:rPr>
      </w:pPr>
      <w:r>
        <w:rPr>
          <w:rFonts w:ascii="Times New Roman" w:hAnsi="Times New Roman" w:cs="Times New Roman"/>
          <w:sz w:val="28"/>
          <w:szCs w:val="28"/>
        </w:rPr>
        <w:t xml:space="preserve">NOTE: Sam’s article discusses the logistical and tactical challenges that arise in a bifurcated trial. He discusses how experts are used traditionally and how that reality will change with this new procedure. </w:t>
      </w:r>
      <w:r w:rsidR="00387842">
        <w:rPr>
          <w:rFonts w:ascii="Times New Roman" w:hAnsi="Times New Roman" w:cs="Times New Roman"/>
          <w:sz w:val="28"/>
          <w:szCs w:val="28"/>
        </w:rPr>
        <w:t>The same experts may have to appear at trial more than once (or at least arrangements have to be made to anticipate that possibility). He discusses the possibility of remote testimony or deposition testimony that is admissible only if the jury necessitates a second phase. Availability of remote experts when you really do not have a time frame going into trial.</w:t>
      </w:r>
    </w:p>
    <w:p w14:paraId="3DD84530" w14:textId="55AB8451" w:rsidR="00D63085" w:rsidRDefault="00D63085" w:rsidP="00D22C0D">
      <w:pPr>
        <w:spacing w:line="480" w:lineRule="auto"/>
        <w:rPr>
          <w:rFonts w:ascii="Times New Roman" w:hAnsi="Times New Roman" w:cs="Times New Roman"/>
          <w:sz w:val="28"/>
          <w:szCs w:val="28"/>
        </w:rPr>
      </w:pPr>
      <w:r>
        <w:rPr>
          <w:rFonts w:ascii="Times New Roman" w:hAnsi="Times New Roman" w:cs="Times New Roman"/>
          <w:sz w:val="28"/>
          <w:szCs w:val="28"/>
        </w:rPr>
        <w:pict w14:anchorId="7359C370">
          <v:rect id="_x0000_i1052" style="width:0;height:1.5pt" o:hralign="center" o:hrstd="t" o:hr="t" fillcolor="#a0a0a0" stroked="f"/>
        </w:pict>
      </w:r>
    </w:p>
    <w:p w14:paraId="5C2E8036" w14:textId="3ABFA62F" w:rsidR="00D63085" w:rsidRDefault="00D63085" w:rsidP="007744F5">
      <w:pPr>
        <w:spacing w:line="480" w:lineRule="auto"/>
        <w:rPr>
          <w:rFonts w:ascii="Times New Roman" w:hAnsi="Times New Roman" w:cs="Times New Roman"/>
          <w:sz w:val="28"/>
          <w:szCs w:val="28"/>
        </w:rPr>
      </w:pPr>
      <w:r>
        <w:rPr>
          <w:rFonts w:ascii="Times New Roman" w:hAnsi="Times New Roman" w:cs="Times New Roman"/>
          <w:sz w:val="28"/>
          <w:szCs w:val="28"/>
        </w:rPr>
        <w:lastRenderedPageBreak/>
        <w:t>And now we reach the problem with referring to this statute as the “bifurcation statute.” Because the statute anticipates a potential 3</w:t>
      </w:r>
      <w:r w:rsidRPr="00D63085">
        <w:rPr>
          <w:rFonts w:ascii="Times New Roman" w:hAnsi="Times New Roman" w:cs="Times New Roman"/>
          <w:sz w:val="28"/>
          <w:szCs w:val="28"/>
          <w:vertAlign w:val="superscript"/>
        </w:rPr>
        <w:t>rd</w:t>
      </w:r>
      <w:r>
        <w:rPr>
          <w:rFonts w:ascii="Times New Roman" w:hAnsi="Times New Roman" w:cs="Times New Roman"/>
          <w:sz w:val="28"/>
          <w:szCs w:val="28"/>
        </w:rPr>
        <w:t xml:space="preserve"> phase of trial – the “trifurcation.”</w:t>
      </w:r>
    </w:p>
    <w:p w14:paraId="5E15237F" w14:textId="6E72FE48" w:rsidR="00D63085" w:rsidRDefault="00D63085" w:rsidP="000B6312">
      <w:pPr>
        <w:spacing w:line="480" w:lineRule="auto"/>
        <w:ind w:left="720"/>
        <w:rPr>
          <w:rFonts w:ascii="Times New Roman" w:hAnsi="Times New Roman" w:cs="Times New Roman"/>
          <w:sz w:val="28"/>
          <w:szCs w:val="28"/>
        </w:rPr>
      </w:pPr>
      <w:r>
        <w:rPr>
          <w:rFonts w:ascii="Times New Roman" w:hAnsi="Times New Roman" w:cs="Times New Roman"/>
          <w:sz w:val="28"/>
          <w:szCs w:val="28"/>
        </w:rPr>
        <w:t xml:space="preserve">If the trier of fact finds in the second phase that any compensatory damages are to be awarded, the trial may be immediately recommenced with the same judge and jury for any further proceedings, including, but not limited to, proceedings involving punitive damages and proceedings to determine </w:t>
      </w:r>
      <w:r w:rsidR="000B6312">
        <w:rPr>
          <w:rFonts w:ascii="Times New Roman" w:hAnsi="Times New Roman" w:cs="Times New Roman"/>
          <w:sz w:val="28"/>
          <w:szCs w:val="28"/>
        </w:rPr>
        <w:t>liability for and amount of attorney fees, court costs, or expenses of litigation “as provided by law.”</w:t>
      </w:r>
      <w:r w:rsidR="000B6312">
        <w:rPr>
          <w:rStyle w:val="EndnoteReference"/>
          <w:rFonts w:ascii="Times New Roman" w:hAnsi="Times New Roman" w:cs="Times New Roman"/>
          <w:sz w:val="28"/>
          <w:szCs w:val="28"/>
        </w:rPr>
        <w:endnoteReference w:id="5"/>
      </w:r>
    </w:p>
    <w:p w14:paraId="771F7937" w14:textId="6DB22DCC" w:rsidR="000B6312" w:rsidRDefault="000B6312" w:rsidP="000B6312">
      <w:pPr>
        <w:spacing w:line="480" w:lineRule="auto"/>
        <w:rPr>
          <w:rFonts w:ascii="Times New Roman" w:hAnsi="Times New Roman" w:cs="Times New Roman"/>
          <w:sz w:val="28"/>
          <w:szCs w:val="28"/>
        </w:rPr>
      </w:pPr>
      <w:r>
        <w:rPr>
          <w:rFonts w:ascii="Times New Roman" w:hAnsi="Times New Roman" w:cs="Times New Roman"/>
          <w:sz w:val="28"/>
          <w:szCs w:val="28"/>
        </w:rPr>
        <w:t>One note on attorney fees here – this statute does not create a new source of a claim for attorney fees – only if attorney fees are otherwise allowed by law and must be determined by a jury should the jury be addressing attorney fees here.</w:t>
      </w:r>
    </w:p>
    <w:p w14:paraId="1CC04015" w14:textId="539FDA08" w:rsidR="00387842" w:rsidRDefault="00387842" w:rsidP="000B6312">
      <w:pPr>
        <w:spacing w:line="480" w:lineRule="auto"/>
        <w:rPr>
          <w:rFonts w:ascii="Times New Roman" w:hAnsi="Times New Roman" w:cs="Times New Roman"/>
          <w:sz w:val="28"/>
          <w:szCs w:val="28"/>
        </w:rPr>
      </w:pPr>
      <w:r>
        <w:rPr>
          <w:rFonts w:ascii="Times New Roman" w:hAnsi="Times New Roman" w:cs="Times New Roman"/>
          <w:sz w:val="28"/>
          <w:szCs w:val="28"/>
        </w:rPr>
        <w:pict w14:anchorId="38D4B7E7">
          <v:rect id="_x0000_i1053" style="width:0;height:1.5pt" o:hralign="center" o:hrstd="t" o:hr="t" fillcolor="#a0a0a0" stroked="f"/>
        </w:pict>
      </w:r>
    </w:p>
    <w:p w14:paraId="0C9832B7" w14:textId="15B69A38" w:rsidR="00387842" w:rsidRDefault="00387842" w:rsidP="000B6312">
      <w:pPr>
        <w:spacing w:line="480" w:lineRule="auto"/>
        <w:rPr>
          <w:rFonts w:ascii="Times New Roman" w:hAnsi="Times New Roman" w:cs="Times New Roman"/>
          <w:b/>
          <w:bCs/>
          <w:sz w:val="28"/>
          <w:szCs w:val="28"/>
        </w:rPr>
      </w:pPr>
      <w:r w:rsidRPr="00387842">
        <w:rPr>
          <w:rFonts w:ascii="Times New Roman" w:hAnsi="Times New Roman" w:cs="Times New Roman"/>
          <w:b/>
          <w:bCs/>
          <w:sz w:val="28"/>
          <w:szCs w:val="28"/>
        </w:rPr>
        <w:t>ARGUING NON-ECONOMIC DAMAGES PRIOR TO CLOSING ARGUMENTS</w:t>
      </w:r>
      <w:r>
        <w:rPr>
          <w:rFonts w:ascii="Times New Roman" w:hAnsi="Times New Roman" w:cs="Times New Roman"/>
          <w:b/>
          <w:bCs/>
          <w:sz w:val="28"/>
          <w:szCs w:val="28"/>
        </w:rPr>
        <w:t xml:space="preserve"> (OCGA § 9-10-184)</w:t>
      </w:r>
    </w:p>
    <w:p w14:paraId="39CFD543" w14:textId="1CAF8154" w:rsidR="002C12FD" w:rsidRDefault="002C12FD" w:rsidP="000B6312">
      <w:pPr>
        <w:spacing w:line="480" w:lineRule="auto"/>
        <w:rPr>
          <w:rFonts w:ascii="Times New Roman" w:hAnsi="Times New Roman" w:cs="Times New Roman"/>
          <w:b/>
          <w:bCs/>
          <w:sz w:val="28"/>
          <w:szCs w:val="28"/>
        </w:rPr>
      </w:pPr>
      <w:r>
        <w:rPr>
          <w:rFonts w:ascii="Times New Roman" w:hAnsi="Times New Roman" w:cs="Times New Roman"/>
          <w:b/>
          <w:bCs/>
          <w:sz w:val="28"/>
          <w:szCs w:val="28"/>
        </w:rPr>
        <w:t>(ALSO REFERRED TO AS “DAMAGE ANCHORING”)</w:t>
      </w:r>
    </w:p>
    <w:p w14:paraId="5422BC8A" w14:textId="5D8BD0D0" w:rsidR="00387842" w:rsidRDefault="00387842" w:rsidP="000B6312">
      <w:pPr>
        <w:spacing w:line="480" w:lineRule="auto"/>
        <w:rPr>
          <w:rFonts w:ascii="Times New Roman" w:hAnsi="Times New Roman" w:cs="Times New Roman"/>
          <w:sz w:val="28"/>
          <w:szCs w:val="28"/>
        </w:rPr>
      </w:pPr>
      <w:r>
        <w:rPr>
          <w:rFonts w:ascii="Times New Roman" w:hAnsi="Times New Roman" w:cs="Times New Roman"/>
          <w:sz w:val="28"/>
          <w:szCs w:val="28"/>
        </w:rPr>
        <w:lastRenderedPageBreak/>
        <w:t>Another section of Sam’s article addresses another section of the 2025 Tort Reform package that has caused both lawyers and judges to ask some hard questions. That change can be found at OCGA § 9-10-184.</w:t>
      </w:r>
    </w:p>
    <w:p w14:paraId="60B2451F" w14:textId="177EFE1F" w:rsidR="00387842" w:rsidRDefault="00387842" w:rsidP="00387842">
      <w:pPr>
        <w:spacing w:line="480" w:lineRule="auto"/>
        <w:ind w:left="720"/>
        <w:rPr>
          <w:rFonts w:ascii="Times New Roman" w:hAnsi="Times New Roman" w:cs="Times New Roman"/>
          <w:sz w:val="28"/>
          <w:szCs w:val="28"/>
        </w:rPr>
      </w:pPr>
      <w:r>
        <w:rPr>
          <w:rFonts w:ascii="Times New Roman" w:hAnsi="Times New Roman" w:cs="Times New Roman"/>
          <w:sz w:val="28"/>
          <w:szCs w:val="28"/>
        </w:rPr>
        <w:t>The statute effectively restricts counsel from referencing or assigning any monetary value to non-economic damages prior to closing arguments.</w:t>
      </w:r>
    </w:p>
    <w:p w14:paraId="3B009BFA" w14:textId="1401389A" w:rsidR="00387842" w:rsidRDefault="00387842" w:rsidP="00387842">
      <w:pPr>
        <w:spacing w:line="480" w:lineRule="auto"/>
        <w:ind w:left="1440"/>
        <w:rPr>
          <w:rFonts w:ascii="Times New Roman" w:hAnsi="Times New Roman" w:cs="Times New Roman"/>
          <w:sz w:val="28"/>
          <w:szCs w:val="28"/>
        </w:rPr>
      </w:pPr>
      <w:r>
        <w:rPr>
          <w:rFonts w:ascii="Times New Roman" w:hAnsi="Times New Roman" w:cs="Times New Roman"/>
          <w:sz w:val="28"/>
          <w:szCs w:val="28"/>
        </w:rPr>
        <w:t>The statute defines economic damages and noneconomic damages but, for our purposes today, let’s think of non-economic damages as damages for pain and suffering</w:t>
      </w:r>
      <w:r w:rsidR="002C12FD">
        <w:rPr>
          <w:rStyle w:val="EndnoteReference"/>
          <w:rFonts w:ascii="Times New Roman" w:hAnsi="Times New Roman" w:cs="Times New Roman"/>
          <w:sz w:val="28"/>
          <w:szCs w:val="28"/>
        </w:rPr>
        <w:endnoteReference w:id="6"/>
      </w:r>
    </w:p>
    <w:p w14:paraId="3958AF30" w14:textId="5A051021" w:rsidR="00387842" w:rsidRDefault="00206852" w:rsidP="00387842">
      <w:pPr>
        <w:spacing w:line="480" w:lineRule="auto"/>
        <w:rPr>
          <w:rFonts w:ascii="Times New Roman" w:hAnsi="Times New Roman" w:cs="Times New Roman"/>
          <w:sz w:val="28"/>
          <w:szCs w:val="28"/>
        </w:rPr>
      </w:pPr>
      <w:r>
        <w:rPr>
          <w:rFonts w:ascii="Times New Roman" w:hAnsi="Times New Roman" w:cs="Times New Roman"/>
          <w:sz w:val="28"/>
          <w:szCs w:val="28"/>
        </w:rPr>
        <w:t xml:space="preserve">The statute provides that counsel may not argue the worth or monetary value of noneconomic damages </w:t>
      </w:r>
      <w:r w:rsidRPr="00206852">
        <w:rPr>
          <w:rFonts w:ascii="Times New Roman" w:hAnsi="Times New Roman" w:cs="Times New Roman"/>
          <w:sz w:val="28"/>
          <w:szCs w:val="28"/>
          <w:u w:val="single"/>
        </w:rPr>
        <w:t>until closing arguments</w:t>
      </w:r>
      <w:r>
        <w:rPr>
          <w:rFonts w:ascii="Times New Roman" w:hAnsi="Times New Roman" w:cs="Times New Roman"/>
          <w:sz w:val="28"/>
          <w:szCs w:val="28"/>
        </w:rPr>
        <w:t xml:space="preserve"> provided that such argument shall be “rationally related to the evidence of noneconomic damages and </w:t>
      </w:r>
      <w:r w:rsidRPr="00206852">
        <w:rPr>
          <w:rFonts w:ascii="Times New Roman" w:hAnsi="Times New Roman" w:cs="Times New Roman"/>
          <w:sz w:val="28"/>
          <w:szCs w:val="28"/>
          <w:u w:val="single"/>
        </w:rPr>
        <w:t>shall not make reference to objects or values having no rational connection to the facts proven by the evidence</w:t>
      </w:r>
      <w:r>
        <w:rPr>
          <w:rFonts w:ascii="Times New Roman" w:hAnsi="Times New Roman" w:cs="Times New Roman"/>
          <w:sz w:val="28"/>
          <w:szCs w:val="28"/>
        </w:rPr>
        <w:t>.”</w:t>
      </w:r>
      <w:r>
        <w:rPr>
          <w:rStyle w:val="EndnoteReference"/>
          <w:rFonts w:ascii="Times New Roman" w:hAnsi="Times New Roman" w:cs="Times New Roman"/>
          <w:sz w:val="28"/>
          <w:szCs w:val="28"/>
        </w:rPr>
        <w:endnoteReference w:id="7"/>
      </w:r>
    </w:p>
    <w:p w14:paraId="69F03E50" w14:textId="751AC6B3" w:rsidR="00206852" w:rsidRDefault="00206852" w:rsidP="00206852">
      <w:pPr>
        <w:spacing w:line="480" w:lineRule="auto"/>
        <w:ind w:left="720"/>
        <w:rPr>
          <w:rFonts w:ascii="Times New Roman" w:hAnsi="Times New Roman" w:cs="Times New Roman"/>
          <w:sz w:val="28"/>
          <w:szCs w:val="28"/>
        </w:rPr>
      </w:pPr>
      <w:r>
        <w:rPr>
          <w:rFonts w:ascii="Times New Roman" w:hAnsi="Times New Roman" w:cs="Times New Roman"/>
          <w:sz w:val="28"/>
          <w:szCs w:val="28"/>
        </w:rPr>
        <w:t>NOTE: Sam’s article makes a reference to “a priceless work of art or the income of a famous celebrity” as being taboo. Let’s discuss some examples.</w:t>
      </w:r>
    </w:p>
    <w:p w14:paraId="4DF6B583" w14:textId="08A1B370" w:rsidR="00206852" w:rsidRDefault="00206852" w:rsidP="00206852">
      <w:pPr>
        <w:spacing w:line="480" w:lineRule="auto"/>
        <w:rPr>
          <w:rFonts w:ascii="Times New Roman" w:hAnsi="Times New Roman" w:cs="Times New Roman"/>
          <w:sz w:val="28"/>
          <w:szCs w:val="28"/>
        </w:rPr>
      </w:pPr>
      <w:r>
        <w:rPr>
          <w:rFonts w:ascii="Times New Roman" w:hAnsi="Times New Roman" w:cs="Times New Roman"/>
          <w:sz w:val="28"/>
          <w:szCs w:val="28"/>
        </w:rPr>
        <w:t xml:space="preserve">Counsel cannot argue one amount of noneconomic damages in initial closing arguments then argue for a greater amount in final closing arguments – and if it </w:t>
      </w:r>
      <w:r>
        <w:rPr>
          <w:rFonts w:ascii="Times New Roman" w:hAnsi="Times New Roman" w:cs="Times New Roman"/>
          <w:sz w:val="28"/>
          <w:szCs w:val="28"/>
        </w:rPr>
        <w:lastRenderedPageBreak/>
        <w:t>was not addressed in initial closing argument, cannot be argued in final closing argument.</w:t>
      </w:r>
      <w:r>
        <w:rPr>
          <w:rStyle w:val="EndnoteReference"/>
          <w:rFonts w:ascii="Times New Roman" w:hAnsi="Times New Roman" w:cs="Times New Roman"/>
          <w:sz w:val="28"/>
          <w:szCs w:val="28"/>
        </w:rPr>
        <w:endnoteReference w:id="8"/>
      </w:r>
    </w:p>
    <w:p w14:paraId="4E129B2C" w14:textId="72A05D70" w:rsidR="00206852" w:rsidRDefault="00206852" w:rsidP="002C12FD">
      <w:pPr>
        <w:spacing w:line="480" w:lineRule="auto"/>
        <w:ind w:left="720"/>
        <w:rPr>
          <w:rFonts w:ascii="Times New Roman" w:hAnsi="Times New Roman" w:cs="Times New Roman"/>
          <w:sz w:val="28"/>
          <w:szCs w:val="28"/>
        </w:rPr>
      </w:pPr>
      <w:r>
        <w:rPr>
          <w:rFonts w:ascii="Times New Roman" w:hAnsi="Times New Roman" w:cs="Times New Roman"/>
          <w:sz w:val="28"/>
          <w:szCs w:val="28"/>
        </w:rPr>
        <w:t xml:space="preserve">But note subsection (e): </w:t>
      </w:r>
      <w:r w:rsidR="002C12FD">
        <w:rPr>
          <w:rFonts w:ascii="Times New Roman" w:hAnsi="Times New Roman" w:cs="Times New Roman"/>
          <w:sz w:val="28"/>
          <w:szCs w:val="28"/>
        </w:rPr>
        <w:t>“</w:t>
      </w:r>
      <w:r w:rsidR="002C12FD" w:rsidRPr="002C12FD">
        <w:rPr>
          <w:rFonts w:ascii="Times New Roman" w:hAnsi="Times New Roman" w:cs="Times New Roman"/>
          <w:sz w:val="28"/>
          <w:szCs w:val="28"/>
        </w:rPr>
        <w:t>Nothing in this Code section shall be construed to prohibit counsel from asking prospective jurors during voir dire whether they could return a verdict that does not award any damages or a verdict in excess of some unspecified amount, provided that such question is supported by the evidence.</w:t>
      </w:r>
      <w:r w:rsidR="002C12FD">
        <w:rPr>
          <w:rFonts w:ascii="Times New Roman" w:hAnsi="Times New Roman" w:cs="Times New Roman"/>
          <w:sz w:val="28"/>
          <w:szCs w:val="28"/>
        </w:rPr>
        <w:t>”</w:t>
      </w:r>
      <w:r w:rsidR="002C12FD">
        <w:rPr>
          <w:rStyle w:val="EndnoteReference"/>
          <w:rFonts w:ascii="Times New Roman" w:hAnsi="Times New Roman" w:cs="Times New Roman"/>
          <w:sz w:val="28"/>
          <w:szCs w:val="28"/>
        </w:rPr>
        <w:endnoteReference w:id="9"/>
      </w:r>
    </w:p>
    <w:p w14:paraId="0F38472E" w14:textId="6337E6DB" w:rsidR="002C12FD" w:rsidRDefault="002C12FD" w:rsidP="002C12FD">
      <w:pPr>
        <w:spacing w:line="48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14:paraId="52CCB756" w14:textId="05C7BFAE" w:rsidR="002C12FD" w:rsidRDefault="002C12FD" w:rsidP="002C12FD">
      <w:pPr>
        <w:spacing w:line="480" w:lineRule="auto"/>
        <w:rPr>
          <w:rFonts w:ascii="Times New Roman" w:hAnsi="Times New Roman" w:cs="Times New Roman"/>
          <w:sz w:val="28"/>
          <w:szCs w:val="28"/>
        </w:rPr>
      </w:pPr>
      <w:r>
        <w:rPr>
          <w:rFonts w:ascii="Times New Roman" w:hAnsi="Times New Roman" w:cs="Times New Roman"/>
          <w:sz w:val="28"/>
          <w:szCs w:val="28"/>
        </w:rPr>
        <w:t>In his article, Sam anticipates some of the legal wrangling that may be produced by this provision. (Wade needs to be careful here as this issue may arise before the COA).</w:t>
      </w:r>
    </w:p>
    <w:p w14:paraId="1B2FC273" w14:textId="28FF550B" w:rsidR="002C12FD" w:rsidRPr="00387842" w:rsidRDefault="002C12FD" w:rsidP="002C12FD">
      <w:pPr>
        <w:spacing w:line="480" w:lineRule="auto"/>
        <w:rPr>
          <w:rFonts w:ascii="Times New Roman" w:hAnsi="Times New Roman" w:cs="Times New Roman"/>
          <w:sz w:val="28"/>
          <w:szCs w:val="28"/>
        </w:rPr>
      </w:pPr>
      <w:r>
        <w:rPr>
          <w:rFonts w:ascii="Times New Roman" w:hAnsi="Times New Roman" w:cs="Times New Roman"/>
          <w:sz w:val="28"/>
          <w:szCs w:val="28"/>
        </w:rPr>
        <w:pict w14:anchorId="31DA9127">
          <v:rect id="_x0000_i1054" style="width:0;height:1.5pt" o:hralign="center" o:hrstd="t" o:hr="t" fillcolor="#a0a0a0" stroked="f"/>
        </w:pict>
      </w:r>
    </w:p>
    <w:p w14:paraId="2EE862B5" w14:textId="5E21B8C9" w:rsidR="000B6312" w:rsidRDefault="002C12FD" w:rsidP="000B6312">
      <w:pPr>
        <w:spacing w:line="480" w:lineRule="auto"/>
        <w:rPr>
          <w:rFonts w:ascii="Times New Roman" w:hAnsi="Times New Roman" w:cs="Times New Roman"/>
          <w:sz w:val="28"/>
          <w:szCs w:val="28"/>
        </w:rPr>
      </w:pPr>
      <w:r>
        <w:rPr>
          <w:rFonts w:ascii="Times New Roman" w:hAnsi="Times New Roman" w:cs="Times New Roman"/>
          <w:sz w:val="28"/>
          <w:szCs w:val="28"/>
        </w:rPr>
        <w:t xml:space="preserve">Now, let’s go all the way back to Sam’s recent experience(s) in trying cases under the new statutes. </w:t>
      </w:r>
    </w:p>
    <w:p w14:paraId="71724801" w14:textId="2DCABC1F" w:rsidR="002C12FD" w:rsidRDefault="002C12FD" w:rsidP="000B6312">
      <w:pPr>
        <w:spacing w:line="480" w:lineRule="auto"/>
        <w:rPr>
          <w:rFonts w:ascii="Times New Roman" w:hAnsi="Times New Roman" w:cs="Times New Roman"/>
          <w:sz w:val="28"/>
          <w:szCs w:val="28"/>
        </w:rPr>
      </w:pPr>
      <w:r>
        <w:rPr>
          <w:rFonts w:ascii="Times New Roman" w:hAnsi="Times New Roman" w:cs="Times New Roman"/>
          <w:sz w:val="28"/>
          <w:szCs w:val="28"/>
        </w:rPr>
        <w:tab/>
        <w:t>What has been reaction of judges?</w:t>
      </w:r>
    </w:p>
    <w:p w14:paraId="69518EE4" w14:textId="03356F0A" w:rsidR="002C12FD" w:rsidRDefault="002C12FD" w:rsidP="000B6312">
      <w:pPr>
        <w:spacing w:line="480" w:lineRule="auto"/>
        <w:rPr>
          <w:rFonts w:ascii="Times New Roman" w:hAnsi="Times New Roman" w:cs="Times New Roman"/>
          <w:sz w:val="28"/>
          <w:szCs w:val="28"/>
        </w:rPr>
      </w:pPr>
      <w:r>
        <w:rPr>
          <w:rFonts w:ascii="Times New Roman" w:hAnsi="Times New Roman" w:cs="Times New Roman"/>
          <w:sz w:val="28"/>
          <w:szCs w:val="28"/>
        </w:rPr>
        <w:tab/>
        <w:t>What has been reaction by opposing counsel?</w:t>
      </w:r>
    </w:p>
    <w:p w14:paraId="5464E9D4" w14:textId="2ED6AEB5" w:rsidR="002C12FD" w:rsidRDefault="002C12FD" w:rsidP="000B6312">
      <w:pPr>
        <w:spacing w:line="480" w:lineRule="auto"/>
        <w:rPr>
          <w:rFonts w:ascii="Times New Roman" w:hAnsi="Times New Roman" w:cs="Times New Roman"/>
          <w:sz w:val="28"/>
          <w:szCs w:val="28"/>
        </w:rPr>
      </w:pPr>
      <w:r>
        <w:rPr>
          <w:rFonts w:ascii="Times New Roman" w:hAnsi="Times New Roman" w:cs="Times New Roman"/>
          <w:sz w:val="28"/>
          <w:szCs w:val="28"/>
        </w:rPr>
        <w:tab/>
        <w:t>Any “verdict realities” that you attribute to the new statute?</w:t>
      </w:r>
    </w:p>
    <w:p w14:paraId="75CD5276" w14:textId="261A2792" w:rsidR="002C12FD" w:rsidRDefault="002C12FD" w:rsidP="000B6312">
      <w:pPr>
        <w:spacing w:line="480" w:lineRule="auto"/>
        <w:rPr>
          <w:rFonts w:ascii="Times New Roman" w:hAnsi="Times New Roman" w:cs="Times New Roman"/>
          <w:sz w:val="28"/>
          <w:szCs w:val="28"/>
        </w:rPr>
      </w:pPr>
      <w:r>
        <w:rPr>
          <w:rFonts w:ascii="Times New Roman" w:hAnsi="Times New Roman" w:cs="Times New Roman"/>
          <w:sz w:val="28"/>
          <w:szCs w:val="28"/>
        </w:rPr>
        <w:lastRenderedPageBreak/>
        <w:pict w14:anchorId="6FD6FFA4">
          <v:rect id="_x0000_i1055" style="width:0;height:1.5pt" o:hralign="center" o:hrstd="t" o:hr="t" fillcolor="#a0a0a0" stroked="f"/>
        </w:pict>
      </w:r>
    </w:p>
    <w:p w14:paraId="08871300" w14:textId="44AA79F3" w:rsidR="00D63085" w:rsidRDefault="002C12FD" w:rsidP="00E62D51">
      <w:pPr>
        <w:spacing w:line="480" w:lineRule="auto"/>
        <w:rPr>
          <w:rFonts w:ascii="Times New Roman" w:hAnsi="Times New Roman" w:cs="Times New Roman"/>
          <w:sz w:val="28"/>
          <w:szCs w:val="28"/>
        </w:rPr>
      </w:pPr>
      <w:r>
        <w:rPr>
          <w:rFonts w:ascii="Times New Roman" w:hAnsi="Times New Roman" w:cs="Times New Roman"/>
          <w:sz w:val="28"/>
          <w:szCs w:val="28"/>
        </w:rPr>
        <w:t>We will all be interested to see the litigation that helps define the parameters of the 2025 Tort Reform package</w:t>
      </w:r>
    </w:p>
    <w:p w14:paraId="72B0B76D" w14:textId="4E2E7B33" w:rsidR="00F53F9A" w:rsidRDefault="00F53F9A" w:rsidP="00E62D51">
      <w:pPr>
        <w:spacing w:line="480" w:lineRule="auto"/>
        <w:jc w:val="both"/>
        <w:rPr>
          <w:rFonts w:ascii="Times New Roman" w:eastAsia="Times New Roman" w:hAnsi="Times New Roman" w:cs="Times New Roman"/>
          <w:b/>
          <w:bCs/>
          <w:color w:val="000000"/>
          <w:kern w:val="0"/>
          <w:sz w:val="28"/>
          <w:szCs w:val="28"/>
          <w14:ligatures w14:val="none"/>
        </w:rPr>
      </w:pPr>
      <w:r w:rsidRPr="00DD2C4A">
        <w:rPr>
          <w:rFonts w:ascii="Times New Roman" w:eastAsia="Times New Roman" w:hAnsi="Times New Roman" w:cs="Times New Roman"/>
          <w:b/>
          <w:bCs/>
          <w:color w:val="000000"/>
          <w:kern w:val="0"/>
          <w:sz w:val="28"/>
          <w:szCs w:val="28"/>
          <w14:ligatures w14:val="none"/>
        </w:rPr>
        <w:t>And remember, you can find the case cites and outline of this podcast and others at goodjudgepod.com !</w:t>
      </w:r>
    </w:p>
    <w:p w14:paraId="46B0F34B" w14:textId="77777777" w:rsidR="00E62D51" w:rsidRDefault="00E62D51" w:rsidP="00DD2C4A">
      <w:pPr>
        <w:spacing w:line="480" w:lineRule="auto"/>
        <w:jc w:val="both"/>
        <w:rPr>
          <w:rFonts w:ascii="Times New Roman" w:eastAsia="Times New Roman" w:hAnsi="Times New Roman" w:cs="Times New Roman"/>
          <w:b/>
          <w:bCs/>
          <w:color w:val="000000"/>
          <w:kern w:val="0"/>
          <w:sz w:val="28"/>
          <w:szCs w:val="28"/>
          <w14:ligatures w14:val="none"/>
        </w:rPr>
      </w:pPr>
    </w:p>
    <w:p w14:paraId="74E42271" w14:textId="6F0A382B" w:rsidR="00E62D51" w:rsidRDefault="00E62D51">
      <w:pP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br w:type="page"/>
      </w:r>
    </w:p>
    <w:p w14:paraId="72752695" w14:textId="546CE295" w:rsidR="00F53F9A" w:rsidRDefault="00F53F9A" w:rsidP="00DD2C4A">
      <w:pPr>
        <w:spacing w:line="480" w:lineRule="auto"/>
        <w:jc w:val="center"/>
        <w:rPr>
          <w:rFonts w:ascii="Times New Roman" w:eastAsia="Times New Roman" w:hAnsi="Times New Roman" w:cs="Times New Roman"/>
          <w:b/>
          <w:bCs/>
          <w:color w:val="000000"/>
          <w:kern w:val="0"/>
          <w:sz w:val="28"/>
          <w:szCs w:val="28"/>
          <w14:ligatures w14:val="none"/>
        </w:rPr>
      </w:pPr>
      <w:r w:rsidRPr="00DD2C4A">
        <w:rPr>
          <w:rFonts w:ascii="Times New Roman" w:eastAsia="Times New Roman" w:hAnsi="Times New Roman" w:cs="Times New Roman"/>
          <w:b/>
          <w:bCs/>
          <w:color w:val="000000"/>
          <w:kern w:val="0"/>
          <w:sz w:val="28"/>
          <w:szCs w:val="28"/>
          <w:u w:val="single"/>
          <w14:ligatures w14:val="none"/>
        </w:rPr>
        <w:lastRenderedPageBreak/>
        <w:t>MUSIC TRIVIA</w:t>
      </w:r>
      <w:r w:rsidR="00582336">
        <w:rPr>
          <w:rFonts w:ascii="Times New Roman" w:eastAsia="Times New Roman" w:hAnsi="Times New Roman" w:cs="Times New Roman"/>
          <w:b/>
          <w:bCs/>
          <w:color w:val="000000"/>
          <w:kern w:val="0"/>
          <w:sz w:val="28"/>
          <w:szCs w:val="28"/>
          <w14:ligatures w14:val="none"/>
        </w:rPr>
        <w:t xml:space="preserve"> </w:t>
      </w:r>
    </w:p>
    <w:p w14:paraId="78D0F457" w14:textId="4F47E79E" w:rsidR="002C12FD" w:rsidRDefault="00505FDA" w:rsidP="002C12FD">
      <w:pPr>
        <w:spacing w:line="48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We have been able to use some really cool sources for our recent music trivia sections of the podcast. And yes, this really is the most popular section of each episode as noted in a completely unscientific poll. But today, Tain is going to have competition. I am going to read a trivia question and allow the quickest buzzer (between Tain and Sam) to answer. Sam, you ready? Tain, are you ready? [practice your buzzer]</w:t>
      </w:r>
    </w:p>
    <w:p w14:paraId="146F5CCA" w14:textId="439520E6" w:rsidR="00505FDA" w:rsidRDefault="00505FDA" w:rsidP="002C12FD">
      <w:pPr>
        <w:spacing w:line="48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ab/>
        <w:t>Ok, these questions come from the internet so their reliability should be gauged by the general reliability of the internet in general. Here we go!</w:t>
      </w:r>
    </w:p>
    <w:p w14:paraId="75804D79" w14:textId="7895EAA1" w:rsidR="00E62D51" w:rsidRDefault="00E62D51" w:rsidP="002C12FD">
      <w:pPr>
        <w:spacing w:line="480" w:lineRule="auto"/>
        <w:rPr>
          <w:rFonts w:ascii="Times New Roman" w:eastAsia="Times New Roman" w:hAnsi="Times New Roman" w:cs="Times New Roman"/>
          <w:b/>
          <w:bCs/>
          <w:color w:val="000000"/>
          <w:kern w:val="0"/>
          <w:sz w:val="28"/>
          <w:szCs w:val="28"/>
          <w14:ligatures w14:val="none"/>
        </w:rPr>
      </w:pPr>
      <w:r>
        <w:rPr>
          <w:rFonts w:ascii="Times New Roman" w:hAnsi="Times New Roman" w:cs="Times New Roman"/>
          <w:sz w:val="28"/>
          <w:szCs w:val="28"/>
        </w:rPr>
        <w:pict w14:anchorId="6DFC0698">
          <v:rect id="_x0000_i1056" style="width:0;height:1.5pt" o:hralign="center" o:hrstd="t" o:hr="t" fillcolor="#a0a0a0" stroked="f"/>
        </w:pict>
      </w:r>
    </w:p>
    <w:p w14:paraId="071D39FF" w14:textId="31A0BB29" w:rsidR="00505FDA" w:rsidRDefault="00505FDA" w:rsidP="002C12FD">
      <w:pPr>
        <w:spacing w:line="48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Question 1:</w:t>
      </w:r>
    </w:p>
    <w:p w14:paraId="692A7549" w14:textId="1C09EE1D" w:rsidR="00505FDA" w:rsidRDefault="00505FDA" w:rsidP="002C12FD">
      <w:pPr>
        <w:spacing w:line="48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 xml:space="preserve">Whitney Houston’s rendition of </w:t>
      </w:r>
      <w:r>
        <w:rPr>
          <w:rFonts w:ascii="Times New Roman" w:eastAsia="Times New Roman" w:hAnsi="Times New Roman" w:cs="Times New Roman"/>
          <w:b/>
          <w:bCs/>
          <w:i/>
          <w:iCs/>
          <w:color w:val="000000"/>
          <w:kern w:val="0"/>
          <w:sz w:val="28"/>
          <w:szCs w:val="28"/>
          <w14:ligatures w14:val="none"/>
        </w:rPr>
        <w:t>I will Always Love You</w:t>
      </w:r>
      <w:r>
        <w:rPr>
          <w:rFonts w:ascii="Times New Roman" w:eastAsia="Times New Roman" w:hAnsi="Times New Roman" w:cs="Times New Roman"/>
          <w:b/>
          <w:bCs/>
          <w:color w:val="000000"/>
          <w:kern w:val="0"/>
          <w:sz w:val="28"/>
          <w:szCs w:val="28"/>
          <w14:ligatures w14:val="none"/>
        </w:rPr>
        <w:t xml:space="preserve"> is world famous. It was released in 1992. What was the name of the movie for which that song was recorded?</w:t>
      </w:r>
    </w:p>
    <w:p w14:paraId="645749F0" w14:textId="297099AE" w:rsidR="00505FDA" w:rsidRDefault="00505FDA" w:rsidP="002C12FD">
      <w:pPr>
        <w:spacing w:line="480" w:lineRule="auto"/>
        <w:rPr>
          <w:rFonts w:ascii="Times New Roman" w:eastAsia="Times New Roman" w:hAnsi="Times New Roman" w:cs="Times New Roman"/>
          <w:b/>
          <w:bCs/>
          <w:i/>
          <w:i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 xml:space="preserve">A: </w:t>
      </w:r>
      <w:r>
        <w:rPr>
          <w:rFonts w:ascii="Times New Roman" w:eastAsia="Times New Roman" w:hAnsi="Times New Roman" w:cs="Times New Roman"/>
          <w:b/>
          <w:bCs/>
          <w:i/>
          <w:iCs/>
          <w:color w:val="000000"/>
          <w:kern w:val="0"/>
          <w:sz w:val="28"/>
          <w:szCs w:val="28"/>
          <w14:ligatures w14:val="none"/>
        </w:rPr>
        <w:t>The Bodyguard</w:t>
      </w:r>
    </w:p>
    <w:p w14:paraId="69BE4A5C" w14:textId="11A36167" w:rsidR="00E62D51" w:rsidRPr="00E62D51" w:rsidRDefault="00E62D51" w:rsidP="002C12FD">
      <w:pPr>
        <w:spacing w:line="480" w:lineRule="auto"/>
        <w:rPr>
          <w:rFonts w:ascii="Times New Roman" w:eastAsia="Times New Roman" w:hAnsi="Times New Roman" w:cs="Times New Roman"/>
          <w:b/>
          <w:bCs/>
          <w:color w:val="000000"/>
          <w:kern w:val="0"/>
          <w:sz w:val="28"/>
          <w:szCs w:val="28"/>
          <w14:ligatures w14:val="none"/>
        </w:rPr>
      </w:pPr>
      <w:r>
        <w:rPr>
          <w:rFonts w:ascii="Times New Roman" w:hAnsi="Times New Roman" w:cs="Times New Roman"/>
          <w:sz w:val="28"/>
          <w:szCs w:val="28"/>
        </w:rPr>
        <w:pict w14:anchorId="6E56C3D3">
          <v:rect id="_x0000_i1057" style="width:0;height:1.5pt" o:hralign="center" o:hrstd="t" o:hr="t" fillcolor="#a0a0a0" stroked="f"/>
        </w:pict>
      </w:r>
    </w:p>
    <w:p w14:paraId="0B62DC16" w14:textId="4E578665" w:rsidR="00505FDA" w:rsidRDefault="00505FDA" w:rsidP="002C12FD">
      <w:pPr>
        <w:spacing w:line="48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lastRenderedPageBreak/>
        <w:t>Question 2 – Diana Ross was recently a presenter at the 2025 Grammy Awards and has been nominated 13 times for a Grammy. How may Grammy Awards has Diana Ross won?</w:t>
      </w:r>
    </w:p>
    <w:p w14:paraId="367993A8" w14:textId="06F6827F" w:rsidR="00505FDA" w:rsidRDefault="00505FDA" w:rsidP="002C12FD">
      <w:pPr>
        <w:spacing w:line="48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A: NONE</w:t>
      </w:r>
    </w:p>
    <w:p w14:paraId="79829869" w14:textId="2BF5D5E0" w:rsidR="00E62D51" w:rsidRDefault="00E62D51" w:rsidP="002C12FD">
      <w:pPr>
        <w:spacing w:line="480" w:lineRule="auto"/>
        <w:rPr>
          <w:rFonts w:ascii="Times New Roman" w:eastAsia="Times New Roman" w:hAnsi="Times New Roman" w:cs="Times New Roman"/>
          <w:b/>
          <w:bCs/>
          <w:color w:val="000000"/>
          <w:kern w:val="0"/>
          <w:sz w:val="28"/>
          <w:szCs w:val="28"/>
          <w14:ligatures w14:val="none"/>
        </w:rPr>
      </w:pPr>
      <w:r>
        <w:rPr>
          <w:rFonts w:ascii="Times New Roman" w:hAnsi="Times New Roman" w:cs="Times New Roman"/>
          <w:sz w:val="28"/>
          <w:szCs w:val="28"/>
        </w:rPr>
        <w:pict w14:anchorId="3144802C">
          <v:rect id="_x0000_i1058" style="width:0;height:1.5pt" o:hralign="center" o:hrstd="t" o:hr="t" fillcolor="#a0a0a0" stroked="f"/>
        </w:pict>
      </w:r>
    </w:p>
    <w:p w14:paraId="2EA56534" w14:textId="1AF50A02" w:rsidR="00E72081" w:rsidRDefault="00505FDA" w:rsidP="002C12FD">
      <w:pPr>
        <w:spacing w:line="48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Question 3 – Both of you know this song – but I am asking who ORIGINALLY sang these lyrics – “Left a good job in the city/Workin’ for the name every night and day”?</w:t>
      </w:r>
    </w:p>
    <w:p w14:paraId="64B72085" w14:textId="0680C7D3" w:rsidR="00E72081" w:rsidRDefault="00E72081" w:rsidP="002C12FD">
      <w:pPr>
        <w:spacing w:line="48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A: (Not Tina Turner) John Fogerty of Creedence Clearwater Revival.</w:t>
      </w:r>
    </w:p>
    <w:p w14:paraId="4C4CE953" w14:textId="31662C66" w:rsidR="00E62D51" w:rsidRDefault="00E62D51" w:rsidP="002C12FD">
      <w:pPr>
        <w:spacing w:line="480" w:lineRule="auto"/>
        <w:rPr>
          <w:rFonts w:ascii="Times New Roman" w:eastAsia="Times New Roman" w:hAnsi="Times New Roman" w:cs="Times New Roman"/>
          <w:b/>
          <w:bCs/>
          <w:color w:val="000000"/>
          <w:kern w:val="0"/>
          <w:sz w:val="28"/>
          <w:szCs w:val="28"/>
          <w14:ligatures w14:val="none"/>
        </w:rPr>
      </w:pPr>
      <w:r>
        <w:rPr>
          <w:rFonts w:ascii="Times New Roman" w:hAnsi="Times New Roman" w:cs="Times New Roman"/>
          <w:sz w:val="28"/>
          <w:szCs w:val="28"/>
        </w:rPr>
        <w:pict w14:anchorId="3CB61C3D">
          <v:rect id="_x0000_i1059" style="width:0;height:1.5pt" o:hralign="center" o:hrstd="t" o:hr="t" fillcolor="#a0a0a0" stroked="f"/>
        </w:pict>
      </w:r>
    </w:p>
    <w:p w14:paraId="33B55FCD" w14:textId="3B9C143D" w:rsidR="00E72081" w:rsidRDefault="00E72081" w:rsidP="002C12FD">
      <w:pPr>
        <w:spacing w:line="48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Last Question – Question 4 (but a multi-part question)– I am going to name a couple of famous pop stars and I want you to tell me their “real name.” To be clear, I am not going to ask you for their middle name or anything like that – just their first and last real name.</w:t>
      </w:r>
    </w:p>
    <w:p w14:paraId="28339804" w14:textId="5762A2C4" w:rsidR="00E72081" w:rsidRDefault="00E72081" w:rsidP="00E72081">
      <w:pPr>
        <w:pStyle w:val="ListParagraph"/>
        <w:numPr>
          <w:ilvl w:val="0"/>
          <w:numId w:val="9"/>
        </w:numPr>
        <w:spacing w:line="48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Eminem (A. Marshall Mathers III)</w:t>
      </w:r>
    </w:p>
    <w:p w14:paraId="446B5D4A" w14:textId="197DE33B" w:rsidR="00E72081" w:rsidRDefault="00E72081" w:rsidP="00E72081">
      <w:pPr>
        <w:pStyle w:val="ListParagraph"/>
        <w:numPr>
          <w:ilvl w:val="0"/>
          <w:numId w:val="9"/>
        </w:numPr>
        <w:spacing w:line="48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Prince (A. Prince Rogers Nelson)</w:t>
      </w:r>
    </w:p>
    <w:p w14:paraId="7900B5E1" w14:textId="4F0672B2" w:rsidR="00E72081" w:rsidRDefault="00E72081" w:rsidP="00E72081">
      <w:pPr>
        <w:pStyle w:val="ListParagraph"/>
        <w:numPr>
          <w:ilvl w:val="0"/>
          <w:numId w:val="9"/>
        </w:numPr>
        <w:spacing w:line="48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Eddie Money (A. Edward Joseph Mahoney)</w:t>
      </w:r>
    </w:p>
    <w:p w14:paraId="6DAAA141" w14:textId="647FC3DF" w:rsidR="00E62D51" w:rsidRDefault="00E62D51" w:rsidP="00E72081">
      <w:pPr>
        <w:pStyle w:val="ListParagraph"/>
        <w:numPr>
          <w:ilvl w:val="0"/>
          <w:numId w:val="9"/>
        </w:numPr>
        <w:spacing w:line="48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lastRenderedPageBreak/>
        <w:t>Elton John (A. Reginald Kenneth Dwight)</w:t>
      </w:r>
    </w:p>
    <w:p w14:paraId="3099AD8E" w14:textId="38213993" w:rsidR="00E72081" w:rsidRDefault="00E72081" w:rsidP="00E72081">
      <w:pPr>
        <w:pStyle w:val="ListParagraph"/>
        <w:numPr>
          <w:ilvl w:val="0"/>
          <w:numId w:val="9"/>
        </w:numPr>
        <w:spacing w:line="48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Snoop Dogg (A. Calvin Cordozar Broadus, Jr.)</w:t>
      </w:r>
    </w:p>
    <w:p w14:paraId="4F3CFF8E" w14:textId="0267A533" w:rsidR="00E62D51" w:rsidRDefault="00E62D51" w:rsidP="00E62D51">
      <w:pPr>
        <w:spacing w:line="480" w:lineRule="auto"/>
        <w:rPr>
          <w:rFonts w:ascii="Times New Roman" w:eastAsia="Times New Roman" w:hAnsi="Times New Roman" w:cs="Times New Roman"/>
          <w:b/>
          <w:bCs/>
          <w:color w:val="000000"/>
          <w:kern w:val="0"/>
          <w:sz w:val="28"/>
          <w:szCs w:val="28"/>
          <w14:ligatures w14:val="none"/>
        </w:rPr>
      </w:pPr>
      <w:r>
        <w:rPr>
          <w:rFonts w:ascii="Times New Roman" w:hAnsi="Times New Roman" w:cs="Times New Roman"/>
          <w:sz w:val="28"/>
          <w:szCs w:val="28"/>
        </w:rPr>
        <w:pict w14:anchorId="3488E28A">
          <v:rect id="_x0000_i1060" style="width:0;height:1.5pt" o:hralign="center" o:hrstd="t" o:hr="t" fillcolor="#a0a0a0" stroked="f"/>
        </w:pict>
      </w:r>
    </w:p>
    <w:p w14:paraId="2ADAC360" w14:textId="79E0AD12" w:rsidR="00E62D51" w:rsidRDefault="00E62D51" w:rsidP="00E62D51">
      <w:pPr>
        <w:spacing w:line="48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In all seriousness, we know you have other options and you choose to listen to us here at the Good Judge-Ment Podcast. We really appreciate you doing so.</w:t>
      </w:r>
    </w:p>
    <w:p w14:paraId="3B5C7DBC" w14:textId="77777777" w:rsidR="00E62D51" w:rsidRDefault="00E62D51">
      <w:pP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br w:type="page"/>
      </w:r>
    </w:p>
    <w:p w14:paraId="03088B9D" w14:textId="77777777" w:rsidR="00E62D51" w:rsidRPr="00E62D51" w:rsidRDefault="00E62D51" w:rsidP="00E62D51">
      <w:pPr>
        <w:spacing w:line="480" w:lineRule="auto"/>
        <w:rPr>
          <w:rFonts w:ascii="Times New Roman" w:eastAsia="Times New Roman" w:hAnsi="Times New Roman" w:cs="Times New Roman"/>
          <w:b/>
          <w:bCs/>
          <w:color w:val="000000"/>
          <w:kern w:val="0"/>
          <w:sz w:val="28"/>
          <w:szCs w:val="28"/>
          <w14:ligatures w14:val="none"/>
        </w:rPr>
      </w:pPr>
    </w:p>
    <w:sectPr w:rsidR="00E62D51" w:rsidRPr="00E62D51">
      <w:footerReference w:type="default" r:id="rId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60F86" w14:textId="77777777" w:rsidR="00FE03C7" w:rsidRDefault="00FE03C7" w:rsidP="00D57B3D">
      <w:pPr>
        <w:spacing w:after="0" w:line="240" w:lineRule="auto"/>
      </w:pPr>
      <w:r>
        <w:separator/>
      </w:r>
    </w:p>
  </w:endnote>
  <w:endnote w:type="continuationSeparator" w:id="0">
    <w:p w14:paraId="7DCC3929" w14:textId="77777777" w:rsidR="00FE03C7" w:rsidRDefault="00FE03C7" w:rsidP="00D57B3D">
      <w:pPr>
        <w:spacing w:after="0" w:line="240" w:lineRule="auto"/>
      </w:pPr>
      <w:r>
        <w:continuationSeparator/>
      </w:r>
    </w:p>
  </w:endnote>
  <w:endnote w:id="1">
    <w:p w14:paraId="0A54F659" w14:textId="1FE3756E" w:rsidR="00150DB4" w:rsidRDefault="00150DB4">
      <w:pPr>
        <w:pStyle w:val="EndnoteText"/>
      </w:pPr>
      <w:r>
        <w:rPr>
          <w:rStyle w:val="EndnoteReference"/>
        </w:rPr>
        <w:endnoteRef/>
      </w:r>
      <w:r>
        <w:t xml:space="preserve"> OCGA § 51-12-15 (a).</w:t>
      </w:r>
    </w:p>
  </w:endnote>
  <w:endnote w:id="2">
    <w:p w14:paraId="64881FE3" w14:textId="6BB89300" w:rsidR="00150DB4" w:rsidRDefault="00150DB4">
      <w:pPr>
        <w:pStyle w:val="EndnoteText"/>
      </w:pPr>
      <w:r>
        <w:rPr>
          <w:rStyle w:val="EndnoteReference"/>
        </w:rPr>
        <w:endnoteRef/>
      </w:r>
      <w:r>
        <w:t xml:space="preserve"> OCGA § 51-12-15 (b).</w:t>
      </w:r>
    </w:p>
  </w:endnote>
  <w:endnote w:id="3">
    <w:p w14:paraId="0E8F28FF" w14:textId="58F59C07" w:rsidR="00150DB4" w:rsidRDefault="00150DB4">
      <w:pPr>
        <w:pStyle w:val="EndnoteText"/>
      </w:pPr>
      <w:r>
        <w:rPr>
          <w:rStyle w:val="EndnoteReference"/>
        </w:rPr>
        <w:endnoteRef/>
      </w:r>
      <w:r>
        <w:t xml:space="preserve"> OCGA § 51-12-15 (a)(1).</w:t>
      </w:r>
    </w:p>
  </w:endnote>
  <w:endnote w:id="4">
    <w:p w14:paraId="46880389" w14:textId="28A48A17" w:rsidR="00D63085" w:rsidRDefault="00D63085">
      <w:pPr>
        <w:pStyle w:val="EndnoteText"/>
      </w:pPr>
      <w:r>
        <w:rPr>
          <w:rStyle w:val="EndnoteReference"/>
        </w:rPr>
        <w:endnoteRef/>
      </w:r>
      <w:r>
        <w:t xml:space="preserve"> OCGA § 51-12-15 (a)(2).</w:t>
      </w:r>
    </w:p>
  </w:endnote>
  <w:endnote w:id="5">
    <w:p w14:paraId="5DE133B4" w14:textId="6FD8E26A" w:rsidR="000B6312" w:rsidRDefault="000B6312">
      <w:pPr>
        <w:pStyle w:val="EndnoteText"/>
      </w:pPr>
      <w:r>
        <w:rPr>
          <w:rStyle w:val="EndnoteReference"/>
        </w:rPr>
        <w:endnoteRef/>
      </w:r>
      <w:r>
        <w:t xml:space="preserve"> OCGA § 51-12-15 (a)(3).</w:t>
      </w:r>
    </w:p>
  </w:endnote>
  <w:endnote w:id="6">
    <w:p w14:paraId="0DE5318F" w14:textId="50A6A02F" w:rsidR="002C12FD" w:rsidRDefault="002C12FD">
      <w:pPr>
        <w:pStyle w:val="EndnoteText"/>
      </w:pPr>
      <w:r>
        <w:rPr>
          <w:rStyle w:val="EndnoteReference"/>
        </w:rPr>
        <w:endnoteRef/>
      </w:r>
      <w:r>
        <w:t xml:space="preserve"> OCGA § 9-10-184 (a)(1) and (2).</w:t>
      </w:r>
    </w:p>
  </w:endnote>
  <w:endnote w:id="7">
    <w:p w14:paraId="0F489CCE" w14:textId="5016DED0" w:rsidR="00206852" w:rsidRDefault="00206852">
      <w:pPr>
        <w:pStyle w:val="EndnoteText"/>
      </w:pPr>
      <w:r>
        <w:rPr>
          <w:rStyle w:val="EndnoteReference"/>
        </w:rPr>
        <w:endnoteRef/>
      </w:r>
      <w:r>
        <w:t xml:space="preserve"> OCGA § 9-10-184 (c)(1).</w:t>
      </w:r>
    </w:p>
  </w:endnote>
  <w:endnote w:id="8">
    <w:p w14:paraId="3E6D7E5E" w14:textId="328141C4" w:rsidR="00206852" w:rsidRDefault="00206852">
      <w:pPr>
        <w:pStyle w:val="EndnoteText"/>
      </w:pPr>
      <w:r>
        <w:rPr>
          <w:rStyle w:val="EndnoteReference"/>
        </w:rPr>
        <w:endnoteRef/>
      </w:r>
      <w:r>
        <w:t xml:space="preserve"> OCGA § 9-10-184 (c)(2).</w:t>
      </w:r>
    </w:p>
  </w:endnote>
  <w:endnote w:id="9">
    <w:p w14:paraId="0D2D8887" w14:textId="6BFD4190" w:rsidR="002C12FD" w:rsidRDefault="002C12FD">
      <w:pPr>
        <w:pStyle w:val="EndnoteText"/>
      </w:pPr>
      <w:r>
        <w:rPr>
          <w:rStyle w:val="EndnoteReference"/>
        </w:rPr>
        <w:endnoteRef/>
      </w:r>
      <w:r>
        <w:t xml:space="preserve"> OCGA § 9-10-184 (e).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A04B8" w14:textId="77777777" w:rsidR="00582336" w:rsidRDefault="00582336" w:rsidP="00582336">
    <w:pPr>
      <w:pStyle w:val="Footer"/>
      <w:jc w:val="center"/>
      <w:rPr>
        <w:rFonts w:ascii="Times New Roman" w:hAnsi="Times New Roman" w:cs="Times New Roman"/>
        <w:b/>
        <w:bCs/>
      </w:rPr>
    </w:pPr>
  </w:p>
  <w:p w14:paraId="0B0F07C6" w14:textId="26EB5C64" w:rsidR="00582336" w:rsidRDefault="0087627F" w:rsidP="00582336">
    <w:pPr>
      <w:pStyle w:val="Footer"/>
      <w:jc w:val="center"/>
      <w:rPr>
        <w:rFonts w:ascii="Times New Roman" w:hAnsi="Times New Roman" w:cs="Times New Roman"/>
        <w:b/>
        <w:bCs/>
      </w:rPr>
    </w:pPr>
    <w:r>
      <w:rPr>
        <w:rFonts w:ascii="Times New Roman" w:hAnsi="Times New Roman" w:cs="Times New Roman"/>
        <w:b/>
        <w:bCs/>
      </w:rPr>
      <w:t>Tort Reform from the Defense Perspective</w:t>
    </w:r>
  </w:p>
  <w:p w14:paraId="6D286818" w14:textId="782DDE1A" w:rsidR="00582336" w:rsidRDefault="00582336" w:rsidP="00582336">
    <w:pPr>
      <w:pStyle w:val="Footer"/>
      <w:jc w:val="center"/>
      <w:rPr>
        <w:rFonts w:ascii="Times New Roman" w:hAnsi="Times New Roman" w:cs="Times New Roman"/>
        <w:b/>
        <w:bCs/>
      </w:rPr>
    </w:pPr>
    <w:r>
      <w:rPr>
        <w:rFonts w:ascii="Times New Roman" w:hAnsi="Times New Roman" w:cs="Times New Roman"/>
        <w:b/>
        <w:bCs/>
      </w:rPr>
      <w:t xml:space="preserve">Recorded </w:t>
    </w:r>
    <w:r w:rsidR="00526532">
      <w:rPr>
        <w:rFonts w:ascii="Times New Roman" w:hAnsi="Times New Roman" w:cs="Times New Roman"/>
        <w:b/>
        <w:bCs/>
      </w:rPr>
      <w:t>1</w:t>
    </w:r>
    <w:r w:rsidR="0087627F">
      <w:rPr>
        <w:rFonts w:ascii="Times New Roman" w:hAnsi="Times New Roman" w:cs="Times New Roman"/>
        <w:b/>
        <w:bCs/>
      </w:rPr>
      <w:t>2/15</w:t>
    </w:r>
    <w:r>
      <w:rPr>
        <w:rFonts w:ascii="Times New Roman" w:hAnsi="Times New Roman" w:cs="Times New Roman"/>
        <w:b/>
        <w:bCs/>
      </w:rPr>
      <w:t>/2025</w:t>
    </w:r>
  </w:p>
  <w:p w14:paraId="06F0DB05" w14:textId="23D92A6C" w:rsidR="00582336" w:rsidRPr="00582336" w:rsidRDefault="00582336" w:rsidP="00582336">
    <w:pPr>
      <w:pStyle w:val="Footer"/>
      <w:jc w:val="center"/>
      <w:rPr>
        <w:rFonts w:ascii="Times New Roman" w:hAnsi="Times New Roman" w:cs="Times New Roman"/>
        <w:b/>
        <w:bCs/>
      </w:rPr>
    </w:pPr>
    <w:r>
      <w:rPr>
        <w:rFonts w:ascii="Times New Roman" w:hAnsi="Times New Roman" w:cs="Times New Roman"/>
        <w:b/>
        <w:bCs/>
      </w:rPr>
      <w:t xml:space="preserve">Page </w:t>
    </w:r>
    <w:r>
      <w:rPr>
        <w:rFonts w:ascii="Times New Roman" w:hAnsi="Times New Roman" w:cs="Times New Roman"/>
        <w:b/>
        <w:bCs/>
      </w:rPr>
      <w:fldChar w:fldCharType="begin"/>
    </w:r>
    <w:r>
      <w:rPr>
        <w:rFonts w:ascii="Times New Roman" w:hAnsi="Times New Roman" w:cs="Times New Roman"/>
        <w:b/>
        <w:bCs/>
      </w:rPr>
      <w:instrText xml:space="preserve"> PAGE  \* Arabic  \* MERGEFORMAT </w:instrText>
    </w:r>
    <w:r>
      <w:rPr>
        <w:rFonts w:ascii="Times New Roman" w:hAnsi="Times New Roman" w:cs="Times New Roman"/>
        <w:b/>
        <w:bCs/>
      </w:rPr>
      <w:fldChar w:fldCharType="separate"/>
    </w:r>
    <w:r>
      <w:rPr>
        <w:rFonts w:ascii="Times New Roman" w:hAnsi="Times New Roman" w:cs="Times New Roman"/>
        <w:b/>
        <w:bCs/>
        <w:noProof/>
      </w:rPr>
      <w:t>1</w:t>
    </w:r>
    <w:r>
      <w:rPr>
        <w:rFonts w:ascii="Times New Roman" w:hAnsi="Times New Roman" w:cs="Times New Roman"/>
        <w:b/>
        <w:bCs/>
      </w:rPr>
      <w:fldChar w:fldCharType="end"/>
    </w:r>
    <w:r>
      <w:rPr>
        <w:rFonts w:ascii="Times New Roman" w:hAnsi="Times New Roman" w:cs="Times New Roman"/>
        <w:b/>
        <w:bCs/>
      </w:rPr>
      <w:t xml:space="preserve"> of </w:t>
    </w:r>
    <w:r>
      <w:rPr>
        <w:rFonts w:ascii="Times New Roman" w:hAnsi="Times New Roman" w:cs="Times New Roman"/>
        <w:b/>
        <w:bCs/>
      </w:rPr>
      <w:fldChar w:fldCharType="begin"/>
    </w:r>
    <w:r>
      <w:rPr>
        <w:rFonts w:ascii="Times New Roman" w:hAnsi="Times New Roman" w:cs="Times New Roman"/>
        <w:b/>
        <w:bCs/>
      </w:rPr>
      <w:instrText xml:space="preserve"> NUMPAGES  \* Arabic  \* MERGEFORMAT </w:instrText>
    </w:r>
    <w:r>
      <w:rPr>
        <w:rFonts w:ascii="Times New Roman" w:hAnsi="Times New Roman" w:cs="Times New Roman"/>
        <w:b/>
        <w:bCs/>
      </w:rPr>
      <w:fldChar w:fldCharType="separate"/>
    </w:r>
    <w:r>
      <w:rPr>
        <w:rFonts w:ascii="Times New Roman" w:hAnsi="Times New Roman" w:cs="Times New Roman"/>
        <w:b/>
        <w:bCs/>
        <w:noProof/>
      </w:rPr>
      <w:t>12</w:t>
    </w:r>
    <w:r>
      <w:rPr>
        <w:rFonts w:ascii="Times New Roman" w:hAnsi="Times New Roman" w:cs="Times New Roman"/>
        <w:b/>
        <w:bCs/>
      </w:rPr>
      <w:fldChar w:fldCharType="end"/>
    </w:r>
  </w:p>
  <w:p w14:paraId="5F749182" w14:textId="77777777" w:rsidR="00582336" w:rsidRDefault="00582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BA9A7" w14:textId="77777777" w:rsidR="00FE03C7" w:rsidRDefault="00FE03C7" w:rsidP="00D57B3D">
      <w:pPr>
        <w:spacing w:after="0" w:line="240" w:lineRule="auto"/>
      </w:pPr>
      <w:r>
        <w:separator/>
      </w:r>
    </w:p>
  </w:footnote>
  <w:footnote w:type="continuationSeparator" w:id="0">
    <w:p w14:paraId="64227FFB" w14:textId="77777777" w:rsidR="00FE03C7" w:rsidRDefault="00FE03C7" w:rsidP="00D57B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487600E"/>
    <w:multiLevelType w:val="hybridMultilevel"/>
    <w:tmpl w:val="945C17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F0EB9"/>
    <w:multiLevelType w:val="multilevel"/>
    <w:tmpl w:val="E0CC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ED3C95"/>
    <w:multiLevelType w:val="hybridMultilevel"/>
    <w:tmpl w:val="F0A212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5B4C52"/>
    <w:multiLevelType w:val="hybridMultilevel"/>
    <w:tmpl w:val="DE52877C"/>
    <w:lvl w:ilvl="0" w:tplc="32788A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6E0F00"/>
    <w:multiLevelType w:val="multilevel"/>
    <w:tmpl w:val="2ADA4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A83893"/>
    <w:multiLevelType w:val="hybridMultilevel"/>
    <w:tmpl w:val="0F1E47A8"/>
    <w:lvl w:ilvl="0" w:tplc="5674F9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70E070E"/>
    <w:multiLevelType w:val="hybridMultilevel"/>
    <w:tmpl w:val="A2924B26"/>
    <w:lvl w:ilvl="0" w:tplc="85F0CD88">
      <w:start w:val="1"/>
      <w:numFmt w:val="bullet"/>
      <w:lvlText w:val=""/>
      <w:lvlPicBulletId w:val="0"/>
      <w:lvlJc w:val="left"/>
      <w:pPr>
        <w:tabs>
          <w:tab w:val="num" w:pos="720"/>
        </w:tabs>
        <w:ind w:left="720" w:hanging="360"/>
      </w:pPr>
      <w:rPr>
        <w:rFonts w:ascii="Symbol" w:hAnsi="Symbol" w:hint="default"/>
      </w:rPr>
    </w:lvl>
    <w:lvl w:ilvl="1" w:tplc="6C6C0320" w:tentative="1">
      <w:start w:val="1"/>
      <w:numFmt w:val="bullet"/>
      <w:lvlText w:val=""/>
      <w:lvlJc w:val="left"/>
      <w:pPr>
        <w:tabs>
          <w:tab w:val="num" w:pos="1440"/>
        </w:tabs>
        <w:ind w:left="1440" w:hanging="360"/>
      </w:pPr>
      <w:rPr>
        <w:rFonts w:ascii="Symbol" w:hAnsi="Symbol" w:hint="default"/>
      </w:rPr>
    </w:lvl>
    <w:lvl w:ilvl="2" w:tplc="2850CCB6" w:tentative="1">
      <w:start w:val="1"/>
      <w:numFmt w:val="bullet"/>
      <w:lvlText w:val=""/>
      <w:lvlJc w:val="left"/>
      <w:pPr>
        <w:tabs>
          <w:tab w:val="num" w:pos="2160"/>
        </w:tabs>
        <w:ind w:left="2160" w:hanging="360"/>
      </w:pPr>
      <w:rPr>
        <w:rFonts w:ascii="Symbol" w:hAnsi="Symbol" w:hint="default"/>
      </w:rPr>
    </w:lvl>
    <w:lvl w:ilvl="3" w:tplc="1D1E910E" w:tentative="1">
      <w:start w:val="1"/>
      <w:numFmt w:val="bullet"/>
      <w:lvlText w:val=""/>
      <w:lvlJc w:val="left"/>
      <w:pPr>
        <w:tabs>
          <w:tab w:val="num" w:pos="2880"/>
        </w:tabs>
        <w:ind w:left="2880" w:hanging="360"/>
      </w:pPr>
      <w:rPr>
        <w:rFonts w:ascii="Symbol" w:hAnsi="Symbol" w:hint="default"/>
      </w:rPr>
    </w:lvl>
    <w:lvl w:ilvl="4" w:tplc="37AE71D4" w:tentative="1">
      <w:start w:val="1"/>
      <w:numFmt w:val="bullet"/>
      <w:lvlText w:val=""/>
      <w:lvlJc w:val="left"/>
      <w:pPr>
        <w:tabs>
          <w:tab w:val="num" w:pos="3600"/>
        </w:tabs>
        <w:ind w:left="3600" w:hanging="360"/>
      </w:pPr>
      <w:rPr>
        <w:rFonts w:ascii="Symbol" w:hAnsi="Symbol" w:hint="default"/>
      </w:rPr>
    </w:lvl>
    <w:lvl w:ilvl="5" w:tplc="38CC6C78" w:tentative="1">
      <w:start w:val="1"/>
      <w:numFmt w:val="bullet"/>
      <w:lvlText w:val=""/>
      <w:lvlJc w:val="left"/>
      <w:pPr>
        <w:tabs>
          <w:tab w:val="num" w:pos="4320"/>
        </w:tabs>
        <w:ind w:left="4320" w:hanging="360"/>
      </w:pPr>
      <w:rPr>
        <w:rFonts w:ascii="Symbol" w:hAnsi="Symbol" w:hint="default"/>
      </w:rPr>
    </w:lvl>
    <w:lvl w:ilvl="6" w:tplc="91CA8744" w:tentative="1">
      <w:start w:val="1"/>
      <w:numFmt w:val="bullet"/>
      <w:lvlText w:val=""/>
      <w:lvlJc w:val="left"/>
      <w:pPr>
        <w:tabs>
          <w:tab w:val="num" w:pos="5040"/>
        </w:tabs>
        <w:ind w:left="5040" w:hanging="360"/>
      </w:pPr>
      <w:rPr>
        <w:rFonts w:ascii="Symbol" w:hAnsi="Symbol" w:hint="default"/>
      </w:rPr>
    </w:lvl>
    <w:lvl w:ilvl="7" w:tplc="DBD87636" w:tentative="1">
      <w:start w:val="1"/>
      <w:numFmt w:val="bullet"/>
      <w:lvlText w:val=""/>
      <w:lvlJc w:val="left"/>
      <w:pPr>
        <w:tabs>
          <w:tab w:val="num" w:pos="5760"/>
        </w:tabs>
        <w:ind w:left="5760" w:hanging="360"/>
      </w:pPr>
      <w:rPr>
        <w:rFonts w:ascii="Symbol" w:hAnsi="Symbol" w:hint="default"/>
      </w:rPr>
    </w:lvl>
    <w:lvl w:ilvl="8" w:tplc="57663AE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8ED2257"/>
    <w:multiLevelType w:val="hybridMultilevel"/>
    <w:tmpl w:val="70FCE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502268"/>
    <w:multiLevelType w:val="multilevel"/>
    <w:tmpl w:val="433A6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222876">
    <w:abstractNumId w:val="4"/>
  </w:num>
  <w:num w:numId="2" w16cid:durableId="1938753318">
    <w:abstractNumId w:val="8"/>
  </w:num>
  <w:num w:numId="3" w16cid:durableId="1800489666">
    <w:abstractNumId w:val="1"/>
  </w:num>
  <w:num w:numId="4" w16cid:durableId="1013456097">
    <w:abstractNumId w:val="3"/>
  </w:num>
  <w:num w:numId="5" w16cid:durableId="1821118669">
    <w:abstractNumId w:val="0"/>
  </w:num>
  <w:num w:numId="6" w16cid:durableId="1824200433">
    <w:abstractNumId w:val="6"/>
  </w:num>
  <w:num w:numId="7" w16cid:durableId="107816476">
    <w:abstractNumId w:val="7"/>
  </w:num>
  <w:num w:numId="8" w16cid:durableId="927156649">
    <w:abstractNumId w:val="5"/>
  </w:num>
  <w:num w:numId="9" w16cid:durableId="188419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E5D"/>
    <w:rsid w:val="000368EC"/>
    <w:rsid w:val="000753C6"/>
    <w:rsid w:val="00085D8B"/>
    <w:rsid w:val="000B6312"/>
    <w:rsid w:val="000C3539"/>
    <w:rsid w:val="000E2954"/>
    <w:rsid w:val="00150DB4"/>
    <w:rsid w:val="00206852"/>
    <w:rsid w:val="00280B28"/>
    <w:rsid w:val="002B349F"/>
    <w:rsid w:val="002C12FD"/>
    <w:rsid w:val="00335726"/>
    <w:rsid w:val="003722FF"/>
    <w:rsid w:val="00387842"/>
    <w:rsid w:val="003C7724"/>
    <w:rsid w:val="004D4DFC"/>
    <w:rsid w:val="00505FDA"/>
    <w:rsid w:val="00526532"/>
    <w:rsid w:val="00582336"/>
    <w:rsid w:val="006151AC"/>
    <w:rsid w:val="006A2D9A"/>
    <w:rsid w:val="00732027"/>
    <w:rsid w:val="007744F5"/>
    <w:rsid w:val="00810D9C"/>
    <w:rsid w:val="00827E5D"/>
    <w:rsid w:val="0087627F"/>
    <w:rsid w:val="008F038A"/>
    <w:rsid w:val="00937122"/>
    <w:rsid w:val="00940EB1"/>
    <w:rsid w:val="00973452"/>
    <w:rsid w:val="00991BCC"/>
    <w:rsid w:val="009F3ED6"/>
    <w:rsid w:val="00A276B6"/>
    <w:rsid w:val="00A31F28"/>
    <w:rsid w:val="00A5783A"/>
    <w:rsid w:val="00AB2846"/>
    <w:rsid w:val="00AE0FA2"/>
    <w:rsid w:val="00AF428F"/>
    <w:rsid w:val="00B325EE"/>
    <w:rsid w:val="00BB40DC"/>
    <w:rsid w:val="00BF450D"/>
    <w:rsid w:val="00C04C5E"/>
    <w:rsid w:val="00C45BF3"/>
    <w:rsid w:val="00C64FA5"/>
    <w:rsid w:val="00CA44F0"/>
    <w:rsid w:val="00D17DC7"/>
    <w:rsid w:val="00D22C0D"/>
    <w:rsid w:val="00D57B3D"/>
    <w:rsid w:val="00D63085"/>
    <w:rsid w:val="00D86F47"/>
    <w:rsid w:val="00DD2C4A"/>
    <w:rsid w:val="00E12B60"/>
    <w:rsid w:val="00E315BE"/>
    <w:rsid w:val="00E62D51"/>
    <w:rsid w:val="00E72081"/>
    <w:rsid w:val="00E84983"/>
    <w:rsid w:val="00E9460A"/>
    <w:rsid w:val="00EA2D97"/>
    <w:rsid w:val="00F53F9A"/>
    <w:rsid w:val="00FE03C7"/>
    <w:rsid w:val="00FF0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8FACC"/>
  <w15:chartTrackingRefBased/>
  <w15:docId w15:val="{C9E97A80-92A7-468E-8B27-CA0A7169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E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E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E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E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E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E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E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E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E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E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E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E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E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E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E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E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E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E5D"/>
    <w:rPr>
      <w:rFonts w:eastAsiaTheme="majorEastAsia" w:cstheme="majorBidi"/>
      <w:color w:val="272727" w:themeColor="text1" w:themeTint="D8"/>
    </w:rPr>
  </w:style>
  <w:style w:type="paragraph" w:styleId="Title">
    <w:name w:val="Title"/>
    <w:basedOn w:val="Normal"/>
    <w:next w:val="Normal"/>
    <w:link w:val="TitleChar"/>
    <w:uiPriority w:val="10"/>
    <w:qFormat/>
    <w:rsid w:val="00827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E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E5D"/>
    <w:pPr>
      <w:spacing w:before="160"/>
      <w:jc w:val="center"/>
    </w:pPr>
    <w:rPr>
      <w:i/>
      <w:iCs/>
      <w:color w:val="404040" w:themeColor="text1" w:themeTint="BF"/>
    </w:rPr>
  </w:style>
  <w:style w:type="character" w:customStyle="1" w:styleId="QuoteChar">
    <w:name w:val="Quote Char"/>
    <w:basedOn w:val="DefaultParagraphFont"/>
    <w:link w:val="Quote"/>
    <w:uiPriority w:val="29"/>
    <w:rsid w:val="00827E5D"/>
    <w:rPr>
      <w:i/>
      <w:iCs/>
      <w:color w:val="404040" w:themeColor="text1" w:themeTint="BF"/>
    </w:rPr>
  </w:style>
  <w:style w:type="paragraph" w:styleId="ListParagraph">
    <w:name w:val="List Paragraph"/>
    <w:basedOn w:val="Normal"/>
    <w:uiPriority w:val="34"/>
    <w:qFormat/>
    <w:rsid w:val="00827E5D"/>
    <w:pPr>
      <w:ind w:left="720"/>
      <w:contextualSpacing/>
    </w:pPr>
  </w:style>
  <w:style w:type="character" w:styleId="IntenseEmphasis">
    <w:name w:val="Intense Emphasis"/>
    <w:basedOn w:val="DefaultParagraphFont"/>
    <w:uiPriority w:val="21"/>
    <w:qFormat/>
    <w:rsid w:val="00827E5D"/>
    <w:rPr>
      <w:i/>
      <w:iCs/>
      <w:color w:val="0F4761" w:themeColor="accent1" w:themeShade="BF"/>
    </w:rPr>
  </w:style>
  <w:style w:type="paragraph" w:styleId="IntenseQuote">
    <w:name w:val="Intense Quote"/>
    <w:basedOn w:val="Normal"/>
    <w:next w:val="Normal"/>
    <w:link w:val="IntenseQuoteChar"/>
    <w:uiPriority w:val="30"/>
    <w:qFormat/>
    <w:rsid w:val="00827E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E5D"/>
    <w:rPr>
      <w:i/>
      <w:iCs/>
      <w:color w:val="0F4761" w:themeColor="accent1" w:themeShade="BF"/>
    </w:rPr>
  </w:style>
  <w:style w:type="character" w:styleId="IntenseReference">
    <w:name w:val="Intense Reference"/>
    <w:basedOn w:val="DefaultParagraphFont"/>
    <w:uiPriority w:val="32"/>
    <w:qFormat/>
    <w:rsid w:val="00827E5D"/>
    <w:rPr>
      <w:b/>
      <w:bCs/>
      <w:smallCaps/>
      <w:color w:val="0F4761" w:themeColor="accent1" w:themeShade="BF"/>
      <w:spacing w:val="5"/>
    </w:rPr>
  </w:style>
  <w:style w:type="paragraph" w:styleId="EndnoteText">
    <w:name w:val="endnote text"/>
    <w:basedOn w:val="Normal"/>
    <w:link w:val="EndnoteTextChar"/>
    <w:uiPriority w:val="99"/>
    <w:semiHidden/>
    <w:unhideWhenUsed/>
    <w:rsid w:val="00D57B3D"/>
    <w:pPr>
      <w:spacing w:after="120" w:line="240" w:lineRule="auto"/>
      <w:ind w:left="720" w:hanging="720"/>
    </w:pPr>
    <w:rPr>
      <w:rFonts w:ascii="Times New Roman" w:hAnsi="Times New Roman"/>
      <w:szCs w:val="20"/>
    </w:rPr>
  </w:style>
  <w:style w:type="character" w:customStyle="1" w:styleId="EndnoteTextChar">
    <w:name w:val="Endnote Text Char"/>
    <w:basedOn w:val="DefaultParagraphFont"/>
    <w:link w:val="EndnoteText"/>
    <w:uiPriority w:val="99"/>
    <w:semiHidden/>
    <w:rsid w:val="00D57B3D"/>
    <w:rPr>
      <w:rFonts w:ascii="Times New Roman" w:hAnsi="Times New Roman"/>
      <w:szCs w:val="20"/>
    </w:rPr>
  </w:style>
  <w:style w:type="character" w:styleId="EndnoteReference">
    <w:name w:val="endnote reference"/>
    <w:basedOn w:val="DefaultParagraphFont"/>
    <w:uiPriority w:val="99"/>
    <w:semiHidden/>
    <w:unhideWhenUsed/>
    <w:rsid w:val="00D57B3D"/>
    <w:rPr>
      <w:b/>
      <w:vertAlign w:val="superscript"/>
    </w:rPr>
  </w:style>
  <w:style w:type="paragraph" w:styleId="Header">
    <w:name w:val="header"/>
    <w:basedOn w:val="Normal"/>
    <w:link w:val="HeaderChar"/>
    <w:uiPriority w:val="99"/>
    <w:unhideWhenUsed/>
    <w:rsid w:val="00582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336"/>
  </w:style>
  <w:style w:type="paragraph" w:styleId="Footer">
    <w:name w:val="footer"/>
    <w:basedOn w:val="Normal"/>
    <w:link w:val="FooterChar"/>
    <w:uiPriority w:val="99"/>
    <w:unhideWhenUsed/>
    <w:rsid w:val="00582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97A95-D99A-4BA9-8B2B-49F156BF1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15</Pages>
  <Words>1783</Words>
  <Characters>10165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 Kell</dc:creator>
  <cp:keywords/>
  <dc:description/>
  <cp:lastModifiedBy>Wade Padgett</cp:lastModifiedBy>
  <cp:revision>5</cp:revision>
  <dcterms:created xsi:type="dcterms:W3CDTF">2025-12-14T21:26:00Z</dcterms:created>
  <dcterms:modified xsi:type="dcterms:W3CDTF">2025-12-14T23:02:00Z</dcterms:modified>
</cp:coreProperties>
</file>